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ind w:left="-5"/>
      </w:pPr>
      <w:r>
        <w:rPr>
          <w:sz w:val="28"/>
        </w:rPr>
        <w:t>附表</w:t>
      </w:r>
      <w:r>
        <w:rPr>
          <w:rFonts w:ascii="Times New Roman" w:hAnsi="Times New Roman" w:eastAsia="Times New Roman" w:cs="Times New Roman"/>
          <w:sz w:val="28"/>
        </w:rPr>
        <w:t>1</w:t>
      </w:r>
      <w:r>
        <w:rPr>
          <w:sz w:val="28"/>
        </w:rPr>
        <w:t>：研究方向简介</w:t>
      </w:r>
    </w:p>
    <w:tbl>
      <w:tblPr>
        <w:tblStyle w:val="5"/>
        <w:tblW w:w="13613" w:type="dxa"/>
        <w:tblInd w:w="-360" w:type="dxa"/>
        <w:tblLayout w:type="autofit"/>
        <w:tblCellMar>
          <w:top w:w="0" w:type="dxa"/>
          <w:left w:w="106" w:type="dxa"/>
          <w:bottom w:w="0" w:type="dxa"/>
          <w:right w:w="5" w:type="dxa"/>
        </w:tblCellMar>
      </w:tblPr>
      <w:tblGrid>
        <w:gridCol w:w="696"/>
        <w:gridCol w:w="1517"/>
        <w:gridCol w:w="6360"/>
        <w:gridCol w:w="5040"/>
      </w:tblGrid>
      <w:tr>
        <w:tblPrEx>
          <w:tblCellMar>
            <w:top w:w="0" w:type="dxa"/>
            <w:left w:w="106" w:type="dxa"/>
            <w:bottom w:w="0" w:type="dxa"/>
            <w:right w:w="5" w:type="dxa"/>
          </w:tblCellMar>
        </w:tblPrEx>
        <w:trPr>
          <w:trHeight w:val="533" w:hRule="atLeast"/>
        </w:trPr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1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类 别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6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培养目标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1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支撑课程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5" w:type="dxa"/>
          </w:tblCellMar>
        </w:tblPrEx>
        <w:trPr>
          <w:trHeight w:val="1733" w:hRule="atLeast"/>
        </w:trPr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6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综合素质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firstLine="422"/>
            </w:pPr>
            <w:r>
              <w:rPr>
                <w:rFonts w:ascii="微软雅黑" w:hAnsi="微软雅黑" w:eastAsia="微软雅黑" w:cs="微软雅黑"/>
                <w:sz w:val="21"/>
              </w:rPr>
              <w:t>掌握本学科前沿，适当了解其他领域研究成果，具有广博的科学视野和将不同领域知识相结合的能力；具备良好的科研写作能力、国内外学术交流能力和解决管理工程领域实际问题的能力，富有创新和开拓精神；身心健康。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3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新时代中国特色社会主义理论与实践、自然辩证法</w:t>
            </w:r>
          </w:p>
          <w:p>
            <w:pPr>
              <w:spacing w:after="0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（自然）、研究生英语、口语、论文写作与学术规范、管理研究方法、中国传统文化、科研素养与创新能力等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5" w:type="dxa"/>
          </w:tblCellMar>
        </w:tblPrEx>
        <w:trPr>
          <w:trHeight w:val="1838" w:hRule="atLeast"/>
        </w:trPr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6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综合能力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firstLine="422"/>
            </w:pPr>
            <w:r>
              <w:rPr>
                <w:rFonts w:ascii="微软雅黑" w:hAnsi="微软雅黑" w:eastAsia="微软雅黑" w:cs="微软雅黑"/>
                <w:sz w:val="21"/>
              </w:rPr>
              <w:t>了解管理科学与工程学科的进展、动向和发展前沿，掌握管理科学与工程学科的基础理论和系统的专门知识；具备文献分析、实地调研、数据分析建模和仿真的能力；能够有效应用管理学、经济学、系统科学、应用数学、计算机科学与技术等多学科交叉知识和专业技术解决现实问题。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数理统计、高级运筹学、决策理论与方法、复杂系统理论与方法、数据科学理论与方法、博弈论、服务科学与管理、大数据与商业智能、物流与供应链管理、现代工业工程、管理科学与工程前沿等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5" w:type="dxa"/>
          </w:tblCellMar>
        </w:tblPrEx>
        <w:trPr>
          <w:trHeight w:val="1877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研究方向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管理科学理论方法与应用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firstLine="422"/>
            </w:pPr>
            <w:r>
              <w:rPr>
                <w:rFonts w:ascii="微软雅黑" w:hAnsi="微软雅黑" w:eastAsia="微软雅黑" w:cs="微软雅黑"/>
                <w:sz w:val="21"/>
              </w:rPr>
              <w:t>掌握管理科学基础理论与方法，灵活运用决策理论与方法、管理博弈、风险管理和应急管理等知识研究管理科学领域的实际问题，在现代管理中的系统工程、预测与决策、管理评价、灾害应急管理等方面，为政府部门、企事业单位提供理论技术支持和政策建议，取得符合培养要求的研究成果。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管理研究方法、高级运筹学、复杂系统理论与方法、计量经济分析、博弈论、应急管理与决策、管理科学与工程前沿专题等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5" w:type="dxa"/>
          </w:tblCellMar>
        </w:tblPrEx>
        <w:trPr>
          <w:trHeight w:val="19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数据管理与智能决策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firstLine="422"/>
            </w:pPr>
            <w:r>
              <w:rPr>
                <w:rFonts w:ascii="微软雅黑" w:hAnsi="微软雅黑" w:eastAsia="微软雅黑" w:cs="微软雅黑"/>
                <w:sz w:val="21"/>
              </w:rPr>
              <w:t>掌握现代管理与智能科学的理论知识、灵活利用运用复杂网络、数据挖掘、社会计算等技术和方法，在管理信息系统和决策支持系统的设计、信息系统的规划方法和安全机制及评估体系、电子商务与电子政务智能商务模式、数据挖掘与数据分析技术等方面，取得符合培养要求的研究成果。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管理研究方法、高级运筹学、复杂系统理论与方法、数理统计、信息系统与信息资源管理、大数据与商业智能等。</w:t>
            </w:r>
          </w:p>
        </w:tc>
      </w:tr>
    </w:tbl>
    <w:p>
      <w:pPr>
        <w:spacing w:after="86"/>
        <w:ind w:left="10" w:right="-15" w:hanging="10"/>
        <w:jc w:val="right"/>
      </w:pPr>
      <w:r>
        <w:rPr>
          <w:rFonts w:ascii="宋体" w:hAnsi="宋体" w:eastAsia="宋体" w:cs="宋体"/>
          <w:sz w:val="21"/>
        </w:rPr>
        <w:t>315</w:t>
      </w:r>
    </w:p>
    <w:p>
      <w:pPr>
        <w:spacing w:after="0"/>
        <w:ind w:left="495" w:hanging="10"/>
      </w:pPr>
      <w:r>
        <w:rPr>
          <w:rFonts w:ascii="微软雅黑" w:hAnsi="微软雅黑" w:eastAsia="微软雅黑" w:cs="微软雅黑"/>
          <w:sz w:val="21"/>
        </w:rPr>
        <w:t>学术学位硕士研究生培养方案</w:t>
      </w:r>
    </w:p>
    <w:p>
      <w:pPr>
        <w:spacing w:after="173"/>
        <w:ind w:left="-355" w:right="-6648"/>
      </w:pPr>
      <w:r>
        <mc:AlternateContent>
          <mc:Choice Requires="wpg">
            <w:drawing>
              <wp:inline distT="0" distB="0" distL="0" distR="0">
                <wp:extent cx="8641080" cy="5715"/>
                <wp:effectExtent l="0" t="0" r="0" b="0"/>
                <wp:docPr id="35679" name="Group 35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41080" cy="6096"/>
                          <a:chOff x="0" y="0"/>
                          <a:chExt cx="8641080" cy="6096"/>
                        </a:xfrm>
                      </wpg:grpSpPr>
                      <wps:wsp>
                        <wps:cNvPr id="47196" name="Shape 47196"/>
                        <wps:cNvSpPr/>
                        <wps:spPr>
                          <a:xfrm>
                            <a:off x="0" y="0"/>
                            <a:ext cx="8641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1080" h="9144">
                                <a:moveTo>
                                  <a:pt x="0" y="0"/>
                                </a:moveTo>
                                <a:lnTo>
                                  <a:pt x="8641080" y="0"/>
                                </a:lnTo>
                                <a:lnTo>
                                  <a:pt x="8641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679" o:spid="_x0000_s1026" o:spt="203" style="height:0.45pt;width:680.4pt;" coordsize="8641080,6096" o:gfxdata="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VpLei1AAAAAMBAAAPAAAA&#10;AAAAAAEAIAAAACIAAABkcnMvZG93bnJldi54bWxQSwECFAAUAAAACACHTuJAyhrwGFICAADiBQAA&#10;DgAAAAAAAAABACAAAAAjAQAAZHJzL2Uyb0RvYy54bWxQSwUGAAAAAAYABgBZAQAA5wUAAAAA&#10;">
                <o:lock v:ext="edit" aspectratio="f"/>
                <v:shape id="Shape 47196" o:spid="_x0000_s1026" o:spt="100" style="position:absolute;left:0;top:0;height:9144;width:8641080;" fillcolor="#000000" filled="t" stroked="f" coordsize="8641080,9144" o:gfxdata="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psxi/&#10;AAAA3gAAAA8AAAAAAAAAAQAgAAAAIgAAAGRycy9kb3ducmV2LnhtbFBLAQIUABQAAAAIAIdO4kAz&#10;LwWeOwAAADkAAAAQAAAAAAAAAAEAIAAAAA4BAABkcnMvc2hhcGV4bWwueG1sUEsFBgAAAAAGAAYA&#10;WwEAALgDAAAAAA==&#10;" path="m0,0l8641080,0,8641080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5"/>
        <w:tblW w:w="13613" w:type="dxa"/>
        <w:tblInd w:w="-360" w:type="dxa"/>
        <w:tblLayout w:type="autofit"/>
        <w:tblCellMar>
          <w:top w:w="0" w:type="dxa"/>
          <w:left w:w="106" w:type="dxa"/>
          <w:bottom w:w="75" w:type="dxa"/>
          <w:right w:w="5" w:type="dxa"/>
        </w:tblCellMar>
      </w:tblPr>
      <w:tblGrid>
        <w:gridCol w:w="696"/>
        <w:gridCol w:w="1517"/>
        <w:gridCol w:w="6360"/>
        <w:gridCol w:w="5040"/>
      </w:tblGrid>
      <w:tr>
        <w:tblPrEx>
          <w:tblCellMar>
            <w:top w:w="0" w:type="dxa"/>
            <w:left w:w="106" w:type="dxa"/>
            <w:bottom w:w="75" w:type="dxa"/>
            <w:right w:w="5" w:type="dxa"/>
          </w:tblCellMar>
        </w:tblPrEx>
        <w:trPr>
          <w:trHeight w:val="1704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物流与供应链管理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firstLine="422"/>
            </w:pPr>
            <w:r>
              <w:rPr>
                <w:rFonts w:ascii="微软雅黑" w:hAnsi="微软雅黑" w:eastAsia="微软雅黑" w:cs="微软雅黑"/>
                <w:sz w:val="21"/>
              </w:rPr>
              <w:t>掌握物流与供应链管理理论与技术知识，灵活运用数学模型、复杂网络、智能算法、物流系统规划与分析、经济学等理论与技术方法，在供应链物流系统整合优化、区域物流系统布局优化与物流资源整合、物流配送系统优化、供应链风险等方面，取得符合培养要求的研究成果。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复杂系统理论与方法、物流供应链管理、物流系统工程、企业数字化转型原理与方、大数据与商业智能、应急管理与决策等</w:t>
            </w:r>
          </w:p>
        </w:tc>
      </w:tr>
      <w:tr>
        <w:tblPrEx>
          <w:tblCellMar>
            <w:top w:w="0" w:type="dxa"/>
            <w:left w:w="106" w:type="dxa"/>
            <w:bottom w:w="75" w:type="dxa"/>
            <w:right w:w="5" w:type="dxa"/>
          </w:tblCellMar>
        </w:tblPrEx>
        <w:trPr>
          <w:trHeight w:val="153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能源资源与系统工程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firstLine="422"/>
            </w:pPr>
            <w:r>
              <w:rPr>
                <w:rFonts w:ascii="微软雅黑" w:hAnsi="微软雅黑" w:eastAsia="微软雅黑" w:cs="微软雅黑"/>
                <w:sz w:val="21"/>
              </w:rPr>
              <w:t>掌握管理学、经济学、能源技术与环境科学领域的理论与方法，综合运用工程技术、项目管理、能源技术经济分析等知识为各级政府能源管理部门、大中型能源企业、能源金融机构等单位提供理论支持和政策建议，取得符合培养要求的研究成果。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管理研究方法、高级运筹学、能源经济学、能源产业管理、能源与环境系统工程等</w:t>
            </w:r>
          </w:p>
        </w:tc>
      </w:tr>
    </w:tbl>
    <w:p>
      <w:pPr>
        <w:spacing w:after="86"/>
        <w:ind w:left="10" w:right="-15" w:hanging="10"/>
        <w:jc w:val="right"/>
      </w:pPr>
      <w:r>
        <w:rPr>
          <w:rFonts w:ascii="宋体" w:hAnsi="宋体" w:eastAsia="宋体" w:cs="宋体"/>
          <w:sz w:val="21"/>
        </w:rPr>
        <w:t>316</w:t>
      </w:r>
    </w:p>
    <w:p>
      <w:p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40" w:h="11900" w:orient="landscape"/>
          <w:pgMar w:top="889" w:right="8291" w:bottom="714" w:left="1944" w:header="879" w:footer="720" w:gutter="0"/>
          <w:cols w:space="720" w:num="1"/>
        </w:sectPr>
      </w:pPr>
    </w:p>
    <w:p>
      <w:pPr>
        <w:spacing w:after="0"/>
        <w:ind w:left="-24" w:firstLine="6341"/>
      </w:pPr>
      <w:r>
        <w:rPr>
          <w:rFonts w:ascii="微软雅黑" w:hAnsi="微软雅黑" w:eastAsia="微软雅黑" w:cs="微软雅黑"/>
          <w:sz w:val="21"/>
        </w:rPr>
        <w:t>管理科学与工程学科</w:t>
      </w:r>
      <w:r>
        <w:rPr>
          <w:rFonts w:ascii="黑体" w:hAnsi="黑体" w:eastAsia="黑体" w:cs="黑体"/>
          <w:sz w:val="28"/>
        </w:rPr>
        <w:t>附表2：培养计划</w:t>
      </w:r>
    </w:p>
    <w:tbl>
      <w:tblPr>
        <w:tblStyle w:val="5"/>
        <w:tblW w:w="9005" w:type="dxa"/>
        <w:tblInd w:w="10" w:type="dxa"/>
        <w:tblLayout w:type="autofit"/>
        <w:tblCellMar>
          <w:top w:w="43" w:type="dxa"/>
          <w:left w:w="106" w:type="dxa"/>
          <w:bottom w:w="7" w:type="dxa"/>
          <w:right w:w="87" w:type="dxa"/>
        </w:tblCellMar>
      </w:tblPr>
      <w:tblGrid>
        <w:gridCol w:w="688"/>
        <w:gridCol w:w="545"/>
        <w:gridCol w:w="766"/>
        <w:gridCol w:w="1003"/>
        <w:gridCol w:w="1653"/>
        <w:gridCol w:w="1439"/>
        <w:gridCol w:w="1148"/>
        <w:gridCol w:w="541"/>
        <w:gridCol w:w="545"/>
        <w:gridCol w:w="677"/>
      </w:tblGrid>
      <w:tr>
        <w:tblPrEx>
          <w:tblCellMar>
            <w:top w:w="43" w:type="dxa"/>
            <w:left w:w="106" w:type="dxa"/>
            <w:bottom w:w="7" w:type="dxa"/>
            <w:right w:w="87" w:type="dxa"/>
          </w:tblCellMar>
        </w:tblPrEx>
        <w:trPr>
          <w:trHeight w:val="466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91"/>
              <w:jc w:val="both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学科名称</w:t>
            </w:r>
          </w:p>
        </w:tc>
        <w:tc>
          <w:tcPr>
            <w:tcW w:w="3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2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管理科学与工程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97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学科代码</w:t>
            </w:r>
          </w:p>
        </w:tc>
        <w:tc>
          <w:tcPr>
            <w:tcW w:w="2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1201</w:t>
            </w:r>
          </w:p>
        </w:tc>
      </w:tr>
      <w:tr>
        <w:tblPrEx>
          <w:tblCellMar>
            <w:top w:w="43" w:type="dxa"/>
            <w:left w:w="106" w:type="dxa"/>
            <w:bottom w:w="7" w:type="dxa"/>
            <w:right w:w="87" w:type="dxa"/>
          </w:tblCellMar>
        </w:tblPrEx>
        <w:trPr>
          <w:trHeight w:val="461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91"/>
              <w:jc w:val="both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单位名称</w:t>
            </w:r>
          </w:p>
        </w:tc>
        <w:tc>
          <w:tcPr>
            <w:tcW w:w="3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9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管理学院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97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培养类型</w:t>
            </w:r>
          </w:p>
        </w:tc>
        <w:tc>
          <w:tcPr>
            <w:tcW w:w="2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9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学术学位硕士研究生</w:t>
            </w:r>
          </w:p>
        </w:tc>
      </w:tr>
      <w:tr>
        <w:tblPrEx>
          <w:tblCellMar>
            <w:top w:w="43" w:type="dxa"/>
            <w:left w:w="106" w:type="dxa"/>
            <w:bottom w:w="7" w:type="dxa"/>
            <w:right w:w="87" w:type="dxa"/>
          </w:tblCellMar>
        </w:tblPrEx>
        <w:trPr>
          <w:trHeight w:val="725" w:hRule="atLeast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91"/>
              <w:jc w:val="both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学分要求</w:t>
            </w:r>
          </w:p>
        </w:tc>
        <w:tc>
          <w:tcPr>
            <w:tcW w:w="77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总学分≥34 学分，课程学分≥28 学分，必修课程学分≥19 学分，选修课程学分≥9 学分。</w:t>
            </w:r>
          </w:p>
        </w:tc>
      </w:tr>
      <w:tr>
        <w:tblPrEx>
          <w:tblCellMar>
            <w:top w:w="43" w:type="dxa"/>
            <w:left w:w="106" w:type="dxa"/>
            <w:bottom w:w="7" w:type="dxa"/>
            <w:right w:w="87" w:type="dxa"/>
          </w:tblCellMar>
        </w:tblPrEx>
        <w:trPr>
          <w:trHeight w:val="571" w:hRule="atLeast"/>
        </w:trPr>
        <w:tc>
          <w:tcPr>
            <w:tcW w:w="90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4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课程设置</w:t>
            </w:r>
            <w:r>
              <w:rPr>
                <w:rFonts w:ascii="微软雅黑" w:hAnsi="微软雅黑" w:eastAsia="微软雅黑" w:cs="微软雅黑"/>
                <w:sz w:val="21"/>
              </w:rPr>
              <w:t>（中英文对照）</w:t>
            </w:r>
          </w:p>
        </w:tc>
      </w:tr>
      <w:tr>
        <w:tblPrEx>
          <w:tblCellMar>
            <w:top w:w="43" w:type="dxa"/>
            <w:left w:w="106" w:type="dxa"/>
            <w:bottom w:w="7" w:type="dxa"/>
            <w:right w:w="87" w:type="dxa"/>
          </w:tblCellMar>
        </w:tblPrEx>
        <w:trPr>
          <w:trHeight w:val="571" w:hRule="atLeast"/>
        </w:trPr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4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课程类型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课程编码</w:t>
            </w:r>
          </w:p>
        </w:tc>
        <w:tc>
          <w:tcPr>
            <w:tcW w:w="4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4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课程名称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58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学分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学期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  <w:jc w:val="both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06" w:type="dxa"/>
            <w:bottom w:w="7" w:type="dxa"/>
            <w:right w:w="87" w:type="dxa"/>
          </w:tblCellMar>
        </w:tblPrEx>
        <w:trPr>
          <w:trHeight w:val="850" w:hRule="atLeast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学位课程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79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公共必修课程</w:t>
            </w:r>
          </w:p>
          <w:p>
            <w:pPr>
              <w:spacing w:after="0"/>
              <w:ind w:right="2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8 学分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8"/>
            </w:pPr>
            <w:r>
              <w:rPr>
                <w:rFonts w:ascii="微软雅黑" w:hAnsi="微软雅黑" w:eastAsia="微软雅黑" w:cs="微软雅黑"/>
                <w:sz w:val="21"/>
              </w:rPr>
              <w:t>G16007</w:t>
            </w:r>
          </w:p>
        </w:tc>
        <w:tc>
          <w:tcPr>
            <w:tcW w:w="4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新时代中国特色社会主义理论与实践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The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Theory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and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Practice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of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Socialism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with Chinese Characteristics for a New Era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7" w:type="dxa"/>
            <w:right w:w="87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8"/>
            </w:pPr>
            <w:r>
              <w:rPr>
                <w:rFonts w:ascii="微软雅黑" w:hAnsi="微软雅黑" w:eastAsia="微软雅黑" w:cs="微软雅黑"/>
                <w:sz w:val="21"/>
              </w:rPr>
              <w:t>G16003</w:t>
            </w:r>
          </w:p>
        </w:tc>
        <w:tc>
          <w:tcPr>
            <w:tcW w:w="4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自然辩证法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Dialectics of nature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7" w:type="dxa"/>
            <w:right w:w="87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8"/>
            </w:pPr>
            <w:r>
              <w:rPr>
                <w:rFonts w:ascii="微软雅黑" w:hAnsi="微软雅黑" w:eastAsia="微软雅黑" w:cs="微软雅黑"/>
                <w:sz w:val="21"/>
              </w:rPr>
              <w:t>G14001</w:t>
            </w:r>
          </w:p>
        </w:tc>
        <w:tc>
          <w:tcPr>
            <w:tcW w:w="4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研究生英语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English for Graduate Students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3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7" w:type="dxa"/>
            <w:right w:w="87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8"/>
            </w:pPr>
            <w:r>
              <w:rPr>
                <w:rFonts w:ascii="微软雅黑" w:hAnsi="微软雅黑" w:eastAsia="微软雅黑" w:cs="微软雅黑"/>
                <w:sz w:val="21"/>
              </w:rPr>
              <w:t>G14003</w:t>
            </w:r>
          </w:p>
        </w:tc>
        <w:tc>
          <w:tcPr>
            <w:tcW w:w="4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口语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Oral Language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7" w:type="dxa"/>
            <w:right w:w="87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8"/>
            </w:pPr>
            <w:r>
              <w:rPr>
                <w:rFonts w:ascii="微软雅黑" w:hAnsi="微软雅黑" w:eastAsia="微软雅黑" w:cs="微软雅黑"/>
                <w:sz w:val="21"/>
              </w:rPr>
              <w:t>G15003</w:t>
            </w:r>
          </w:p>
        </w:tc>
        <w:tc>
          <w:tcPr>
            <w:tcW w:w="4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论文写作与学术规范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Thesis Writing and Academic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7" w:type="dxa"/>
            <w:right w:w="87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4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学科平台课程</w:t>
            </w:r>
          </w:p>
          <w:p>
            <w:pPr>
              <w:spacing w:after="0"/>
              <w:ind w:left="106"/>
            </w:pPr>
            <w:r>
              <w:rPr>
                <w:rFonts w:ascii="微软雅黑" w:hAnsi="微软雅黑" w:eastAsia="微软雅黑" w:cs="微软雅黑"/>
                <w:sz w:val="21"/>
              </w:rPr>
              <w:t>≥11 学分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8"/>
            </w:pPr>
            <w:r>
              <w:rPr>
                <w:rFonts w:ascii="微软雅黑" w:hAnsi="微软雅黑" w:eastAsia="微软雅黑" w:cs="微软雅黑"/>
                <w:sz w:val="21"/>
              </w:rPr>
              <w:t>G11003</w:t>
            </w:r>
          </w:p>
        </w:tc>
        <w:tc>
          <w:tcPr>
            <w:tcW w:w="4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数理统计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Mathematical Statistics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0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选修</w:t>
            </w:r>
          </w:p>
          <w:p>
            <w:pPr>
              <w:spacing w:after="0"/>
              <w:ind w:firstLine="1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1-2 门全英文课程</w:t>
            </w:r>
          </w:p>
        </w:tc>
      </w:tr>
      <w:tr>
        <w:tblPrEx>
          <w:tblCellMar>
            <w:top w:w="43" w:type="dxa"/>
            <w:left w:w="106" w:type="dxa"/>
            <w:bottom w:w="7" w:type="dxa"/>
            <w:right w:w="87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180008</w:t>
            </w:r>
          </w:p>
        </w:tc>
        <w:tc>
          <w:tcPr>
            <w:tcW w:w="4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管理研究方法（全英文授课）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Research Methods of Management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7" w:type="dxa"/>
            <w:right w:w="87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180110</w:t>
            </w:r>
          </w:p>
        </w:tc>
        <w:tc>
          <w:tcPr>
            <w:tcW w:w="4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数据科学理论与方法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Theory and Methods for Data Science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7" w:type="dxa"/>
            <w:right w:w="87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180003</w:t>
            </w:r>
          </w:p>
        </w:tc>
        <w:tc>
          <w:tcPr>
            <w:tcW w:w="4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决策理论与方法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Decision Theory and Methods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7" w:type="dxa"/>
            <w:right w:w="87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180001</w:t>
            </w:r>
          </w:p>
        </w:tc>
        <w:tc>
          <w:tcPr>
            <w:tcW w:w="4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高级运筹学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Advanced Operational Research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7" w:type="dxa"/>
            <w:right w:w="87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180113</w:t>
            </w:r>
          </w:p>
        </w:tc>
        <w:tc>
          <w:tcPr>
            <w:tcW w:w="4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复杂系统理论与方法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Theory and Methods for Complex System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7" w:type="dxa"/>
            <w:right w:w="87" w:type="dxa"/>
          </w:tblCellMar>
        </w:tblPrEx>
        <w:trPr>
          <w:trHeight w:val="605" w:hRule="atLeast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非学位课程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79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方向选修课程</w:t>
            </w:r>
          </w:p>
          <w:p>
            <w:pPr>
              <w:spacing w:after="0"/>
              <w:ind w:left="158"/>
            </w:pPr>
            <w:r>
              <w:rPr>
                <w:rFonts w:ascii="微软雅黑" w:hAnsi="微软雅黑" w:eastAsia="微软雅黑" w:cs="微软雅黑"/>
                <w:sz w:val="21"/>
              </w:rPr>
              <w:t>≥8 学分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180006</w:t>
            </w:r>
          </w:p>
        </w:tc>
        <w:tc>
          <w:tcPr>
            <w:tcW w:w="4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高级管理学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Advanced Management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7" w:type="dxa"/>
            <w:right w:w="87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180009</w:t>
            </w:r>
          </w:p>
        </w:tc>
        <w:tc>
          <w:tcPr>
            <w:tcW w:w="4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多元统计分析与应用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Multivariate Statistical Analysis and Application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7" w:type="dxa"/>
            <w:right w:w="87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180072</w:t>
            </w:r>
          </w:p>
        </w:tc>
        <w:tc>
          <w:tcPr>
            <w:tcW w:w="4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博弈论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Game Theory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7" w:type="dxa"/>
            <w:right w:w="87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180074</w:t>
            </w:r>
          </w:p>
        </w:tc>
        <w:tc>
          <w:tcPr>
            <w:tcW w:w="4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应急管理与决策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Emergency Management and Decision Making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7" w:type="dxa"/>
            <w:right w:w="87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180019</w:t>
            </w:r>
          </w:p>
        </w:tc>
        <w:tc>
          <w:tcPr>
            <w:tcW w:w="4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创新管理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Innovation Management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5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ind w:left="-1440" w:right="6"/>
      </w:pPr>
    </w:p>
    <w:tbl>
      <w:tblPr>
        <w:tblStyle w:val="5"/>
        <w:tblW w:w="9005" w:type="dxa"/>
        <w:tblInd w:w="10" w:type="dxa"/>
        <w:tblLayout w:type="autofit"/>
        <w:tblCellMar>
          <w:top w:w="43" w:type="dxa"/>
          <w:left w:w="106" w:type="dxa"/>
          <w:bottom w:w="0" w:type="dxa"/>
          <w:right w:w="90" w:type="dxa"/>
        </w:tblCellMar>
      </w:tblPr>
      <w:tblGrid>
        <w:gridCol w:w="684"/>
        <w:gridCol w:w="1310"/>
        <w:gridCol w:w="1006"/>
        <w:gridCol w:w="4248"/>
        <w:gridCol w:w="540"/>
        <w:gridCol w:w="545"/>
        <w:gridCol w:w="672"/>
      </w:tblGrid>
      <w:tr>
        <w:tblPrEx>
          <w:tblCellMar>
            <w:top w:w="43" w:type="dxa"/>
            <w:left w:w="106" w:type="dxa"/>
            <w:bottom w:w="0" w:type="dxa"/>
            <w:right w:w="90" w:type="dxa"/>
          </w:tblCellMar>
        </w:tblPrEx>
        <w:trPr>
          <w:trHeight w:val="605" w:hRule="atLeast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180015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知识管理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Knowledge Management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0" w:type="dxa"/>
            <w:right w:w="9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180004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信息系统与信息资源管理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Information Management and Information System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0" w:type="dxa"/>
            <w:right w:w="9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180075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大数据与商业智能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Big Data and Business Intelligence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0" w:type="dxa"/>
            <w:right w:w="90" w:type="dxa"/>
          </w:tblCellMar>
        </w:tblPrEx>
        <w:trPr>
          <w:trHeight w:val="95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180112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企业数字化转型原理与方法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Principles and Methods for Enterprise Digital Transformation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0" w:type="dxa"/>
            <w:right w:w="9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180114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人工智能导论</w:t>
            </w:r>
          </w:p>
          <w:p>
            <w:pPr>
              <w:spacing w:after="0"/>
              <w:ind w:left="58"/>
            </w:pPr>
            <w:r>
              <w:rPr>
                <w:rFonts w:ascii="微软雅黑" w:hAnsi="微软雅黑" w:eastAsia="微软雅黑" w:cs="微软雅黑"/>
                <w:sz w:val="21"/>
              </w:rPr>
              <w:t>Introduction to Artificial Intelligence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0" w:type="dxa"/>
            <w:right w:w="9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180010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现代工业工程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Modern Industrial Engineering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0" w:type="dxa"/>
            <w:right w:w="9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180012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物流与供应链管理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Logistics and Supply Chain Management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0" w:type="dxa"/>
            <w:right w:w="9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180091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智能制造工程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Intelligent Manufacturing Engineering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0" w:type="dxa"/>
            <w:right w:w="9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180111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智慧物流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Intelligent Logistics System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0" w:type="dxa"/>
            <w:right w:w="9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180021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系统分析建模与仿真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System Modeling and Simulation with Witness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0" w:type="dxa"/>
            <w:right w:w="9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180070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能源经济学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Energy Economics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0" w:type="dxa"/>
            <w:right w:w="9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180077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服务科学与管理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Service Science and Management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0" w:type="dxa"/>
            <w:right w:w="90" w:type="dxa"/>
          </w:tblCellMar>
        </w:tblPrEx>
        <w:trPr>
          <w:trHeight w:val="85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180078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资源与环境系统工程</w:t>
            </w:r>
          </w:p>
          <w:p>
            <w:pPr>
              <w:tabs>
                <w:tab w:val="center" w:pos="383"/>
                <w:tab w:val="center" w:pos="1298"/>
                <w:tab w:val="center" w:pos="2431"/>
                <w:tab w:val="center" w:pos="3749"/>
              </w:tabs>
              <w:spacing w:after="24"/>
            </w:pPr>
            <w: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Resource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and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Environmental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Systems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Engineering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0" w:type="dxa"/>
            <w:right w:w="9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180115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碳中和理论与实践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Theory and practice of Carbon Neutralization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0" w:type="dxa"/>
            <w:right w:w="90" w:type="dxa"/>
          </w:tblCellMar>
        </w:tblPrEx>
        <w:trPr>
          <w:trHeight w:val="9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</w:pPr>
            <w:r>
              <w:rPr>
                <w:rFonts w:ascii="微软雅黑" w:hAnsi="微软雅黑" w:eastAsia="微软雅黑" w:cs="微软雅黑"/>
                <w:sz w:val="21"/>
              </w:rPr>
              <w:t>180076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管理科学与工程前沿专题（全英文授课）</w:t>
            </w:r>
          </w:p>
          <w:p>
            <w:pPr>
              <w:tabs>
                <w:tab w:val="center" w:pos="330"/>
                <w:tab w:val="center" w:pos="1221"/>
                <w:tab w:val="center" w:pos="2064"/>
                <w:tab w:val="center" w:pos="2623"/>
                <w:tab w:val="center" w:pos="3328"/>
                <w:tab w:val="center" w:pos="4006"/>
              </w:tabs>
              <w:spacing w:after="24"/>
            </w:pPr>
            <w: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Frontier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Research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Report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on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Discipline</w:t>
            </w:r>
            <w:r>
              <w:rPr>
                <w:rFonts w:ascii="微软雅黑" w:hAnsi="微软雅黑" w:eastAsia="微软雅黑" w:cs="微软雅黑"/>
                <w:sz w:val="21"/>
              </w:rPr>
              <w:tab/>
            </w:r>
            <w:r>
              <w:rPr>
                <w:rFonts w:ascii="微软雅黑" w:hAnsi="微软雅黑" w:eastAsia="微软雅黑" w:cs="微软雅黑"/>
                <w:sz w:val="21"/>
              </w:rPr>
              <w:t>of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Management Science and Engineering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0" w:type="dxa"/>
            <w:right w:w="9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4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素养选修课程</w:t>
            </w:r>
          </w:p>
          <w:p>
            <w:pPr>
              <w:spacing w:after="0"/>
              <w:ind w:right="20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 学分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8"/>
            </w:pPr>
            <w:r>
              <w:rPr>
                <w:rFonts w:ascii="微软雅黑" w:hAnsi="微软雅黑" w:eastAsia="微软雅黑" w:cs="微软雅黑"/>
                <w:sz w:val="21"/>
              </w:rPr>
              <w:t>G31001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中国传统文化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Traditional Culture of China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0" w:type="dxa"/>
            <w:right w:w="9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8"/>
            </w:pPr>
            <w:r>
              <w:rPr>
                <w:rFonts w:ascii="微软雅黑" w:hAnsi="微软雅黑" w:eastAsia="微软雅黑" w:cs="微软雅黑"/>
                <w:sz w:val="21"/>
              </w:rPr>
              <w:t>G02060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科研素养与创新能力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Scientific Literacy and Innovation Capacity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0" w:type="dxa"/>
            <w:right w:w="9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8"/>
            </w:pPr>
            <w:r>
              <w:rPr>
                <w:rFonts w:ascii="微软雅黑" w:hAnsi="微软雅黑" w:eastAsia="微软雅黑" w:cs="微软雅黑"/>
                <w:sz w:val="21"/>
              </w:rPr>
              <w:t>G17070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经济学基础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Foundations of Economics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0" w:type="dxa"/>
            <w:right w:w="90" w:type="dxa"/>
          </w:tblCellMar>
        </w:tblPrEx>
        <w:trPr>
          <w:trHeight w:val="85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8"/>
            </w:pPr>
            <w:r>
              <w:rPr>
                <w:rFonts w:ascii="微软雅黑" w:hAnsi="微软雅黑" w:eastAsia="微软雅黑" w:cs="微软雅黑"/>
                <w:sz w:val="21"/>
              </w:rPr>
              <w:t>G05024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</w:pPr>
            <w:r>
              <w:rPr>
                <w:rFonts w:ascii="微软雅黑" w:hAnsi="微软雅黑" w:eastAsia="微软雅黑" w:cs="微软雅黑"/>
                <w:sz w:val="21"/>
              </w:rPr>
              <w:t>计算机科学前沿技术应用系列讲座</w:t>
            </w:r>
          </w:p>
          <w:p>
            <w:pPr>
              <w:spacing w:after="0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The Lectures on the Frontier Technology and Application of the Computer Science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43" w:type="dxa"/>
            <w:left w:w="106" w:type="dxa"/>
            <w:bottom w:w="0" w:type="dxa"/>
            <w:right w:w="9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8"/>
            </w:pPr>
            <w:r>
              <w:rPr>
                <w:rFonts w:ascii="微软雅黑" w:hAnsi="微软雅黑" w:eastAsia="微软雅黑" w:cs="微软雅黑"/>
                <w:sz w:val="21"/>
              </w:rPr>
              <w:t>G19002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美术鉴赏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Art Appreciation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ind w:left="6327" w:hanging="10"/>
      </w:pPr>
      <w:r>
        <w:rPr>
          <w:rFonts w:ascii="微软雅黑" w:hAnsi="微软雅黑" w:eastAsia="微软雅黑" w:cs="微软雅黑"/>
          <w:sz w:val="21"/>
        </w:rPr>
        <w:t>管理科学与工程学科</w:t>
      </w:r>
    </w:p>
    <w:tbl>
      <w:tblPr>
        <w:tblStyle w:val="5"/>
        <w:tblW w:w="9005" w:type="dxa"/>
        <w:tblInd w:w="10" w:type="dxa"/>
        <w:tblLayout w:type="autofit"/>
        <w:tblCellMar>
          <w:top w:w="58" w:type="dxa"/>
          <w:left w:w="106" w:type="dxa"/>
          <w:bottom w:w="0" w:type="dxa"/>
          <w:right w:w="0" w:type="dxa"/>
        </w:tblCellMar>
      </w:tblPr>
      <w:tblGrid>
        <w:gridCol w:w="690"/>
        <w:gridCol w:w="874"/>
        <w:gridCol w:w="446"/>
        <w:gridCol w:w="950"/>
        <w:gridCol w:w="1925"/>
        <w:gridCol w:w="1728"/>
        <w:gridCol w:w="624"/>
        <w:gridCol w:w="542"/>
        <w:gridCol w:w="548"/>
        <w:gridCol w:w="678"/>
      </w:tblGrid>
      <w:tr>
        <w:tblPrEx>
          <w:tblCellMar>
            <w:top w:w="58" w:type="dxa"/>
            <w:left w:w="106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8"/>
            </w:pPr>
            <w:r>
              <w:rPr>
                <w:rFonts w:ascii="微软雅黑" w:hAnsi="微软雅黑" w:eastAsia="微软雅黑" w:cs="微软雅黑"/>
                <w:sz w:val="21"/>
              </w:rPr>
              <w:t>G02010</w:t>
            </w:r>
          </w:p>
        </w:tc>
        <w:tc>
          <w:tcPr>
            <w:tcW w:w="4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</w:pPr>
            <w:r>
              <w:rPr>
                <w:rFonts w:ascii="微软雅黑" w:hAnsi="微软雅黑" w:eastAsia="微软雅黑" w:cs="微软雅黑"/>
                <w:sz w:val="21"/>
              </w:rPr>
              <w:t>科技英语写作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Technical English Writing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1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58" w:type="dxa"/>
            <w:left w:w="106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9"/>
              <w:jc w:val="both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其他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补修课程</w:t>
            </w:r>
            <w:r>
              <w:rPr>
                <w:rFonts w:ascii="微软雅黑" w:hAnsi="微软雅黑" w:eastAsia="微软雅黑" w:cs="微软雅黑"/>
                <w:sz w:val="21"/>
              </w:rPr>
              <w:t>不计学分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4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从培养方向依托本科专业的主干课程中选择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1"/>
              </w:rPr>
              <w:t>2 门及以上课程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9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导师组共同商定</w:t>
            </w:r>
          </w:p>
        </w:tc>
      </w:tr>
      <w:tr>
        <w:tblPrEx>
          <w:tblCellMar>
            <w:top w:w="58" w:type="dxa"/>
            <w:left w:w="106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58" w:type="dxa"/>
            <w:left w:w="106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58" w:type="dxa"/>
            <w:left w:w="106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0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其他培养环节</w:t>
            </w:r>
            <w:r>
              <w:rPr>
                <w:rFonts w:ascii="微软雅黑" w:hAnsi="微软雅黑" w:eastAsia="微软雅黑" w:cs="微软雅黑"/>
                <w:sz w:val="21"/>
              </w:rPr>
              <w:t>（6 学分）</w:t>
            </w:r>
          </w:p>
        </w:tc>
      </w:tr>
      <w:tr>
        <w:tblPrEx>
          <w:tblCellMar>
            <w:top w:w="58" w:type="dxa"/>
            <w:left w:w="106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4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培养环节</w:t>
            </w:r>
          </w:p>
        </w:tc>
        <w:tc>
          <w:tcPr>
            <w:tcW w:w="6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1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相关内容及要求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4"/>
              <w:jc w:val="both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学期</w:t>
            </w:r>
          </w:p>
        </w:tc>
      </w:tr>
      <w:tr>
        <w:tblPrEx>
          <w:tblCellMar>
            <w:top w:w="58" w:type="dxa"/>
            <w:left w:w="106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96" w:right="202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开题报告</w:t>
            </w:r>
            <w:r>
              <w:rPr>
                <w:rFonts w:ascii="微软雅黑" w:hAnsi="微软雅黑" w:eastAsia="微软雅黑" w:cs="微软雅黑"/>
                <w:sz w:val="21"/>
              </w:rPr>
              <w:t>（1 学分）</w:t>
            </w:r>
          </w:p>
        </w:tc>
        <w:tc>
          <w:tcPr>
            <w:tcW w:w="6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firstLine="422"/>
            </w:pPr>
            <w:r>
              <w:rPr>
                <w:rFonts w:ascii="微软雅黑" w:hAnsi="微软雅黑" w:eastAsia="微软雅黑" w:cs="微软雅黑"/>
                <w:sz w:val="21"/>
              </w:rPr>
              <w:t>通过文献阅读、学术调研，确定论文选题和研究内容，经导师同意后于第三学期末提交开题报告并通过开题。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3</w:t>
            </w:r>
          </w:p>
        </w:tc>
      </w:tr>
      <w:tr>
        <w:tblPrEx>
          <w:tblCellMar>
            <w:top w:w="58" w:type="dxa"/>
            <w:left w:w="106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"/>
              <w:ind w:left="43"/>
              <w:jc w:val="both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中期筛选考核</w:t>
            </w:r>
          </w:p>
          <w:p>
            <w:pPr>
              <w:spacing w:after="0"/>
              <w:ind w:left="178"/>
            </w:pPr>
            <w:r>
              <w:rPr>
                <w:rFonts w:ascii="微软雅黑" w:hAnsi="微软雅黑" w:eastAsia="微软雅黑" w:cs="微软雅黑"/>
                <w:sz w:val="21"/>
              </w:rPr>
              <w:t>（1 学分）</w:t>
            </w:r>
          </w:p>
        </w:tc>
        <w:tc>
          <w:tcPr>
            <w:tcW w:w="6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firstLine="422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对研究生的思政、科研、实践及综合素质等方面进行综合考核并达到要求。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4</w:t>
            </w:r>
          </w:p>
        </w:tc>
      </w:tr>
      <w:tr>
        <w:tblPrEx>
          <w:tblCellMar>
            <w:top w:w="58" w:type="dxa"/>
            <w:left w:w="106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96" w:right="202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实习实践</w:t>
            </w:r>
            <w:r>
              <w:rPr>
                <w:rFonts w:ascii="微软雅黑" w:hAnsi="微软雅黑" w:eastAsia="微软雅黑" w:cs="微软雅黑"/>
                <w:sz w:val="21"/>
              </w:rPr>
              <w:t>（2 学分）</w:t>
            </w:r>
          </w:p>
        </w:tc>
        <w:tc>
          <w:tcPr>
            <w:tcW w:w="6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1" w:lineRule="auto"/>
              <w:ind w:firstLine="422"/>
            </w:pPr>
            <w:r>
              <w:rPr>
                <w:rFonts w:ascii="微软雅黑" w:hAnsi="微软雅黑" w:eastAsia="微软雅黑" w:cs="微软雅黑"/>
                <w:sz w:val="21"/>
              </w:rPr>
              <w:t>教学实践：包括助课，协助指导毕业设计、课程设计和实习等，教学实践累计不少于 1 个月的工作量，由导师安排并考核，写出考核评语，考核通过即获得 1 学分。</w:t>
            </w:r>
          </w:p>
          <w:p>
            <w:pPr>
              <w:spacing w:after="0"/>
              <w:ind w:firstLine="422"/>
            </w:pPr>
            <w:r>
              <w:rPr>
                <w:rFonts w:ascii="微软雅黑" w:hAnsi="微软雅黑" w:eastAsia="微软雅黑" w:cs="微软雅黑"/>
                <w:sz w:val="21"/>
              </w:rPr>
              <w:t>专业实践：包括参与导师科研项目、到生产和设计研究单位进行实践锻炼、参加结合研究方向的科研工作或实验室等工作，专业实践累计应不少于 1 个月的时间（一般利用寒暑假），具体由导师安排并考核。导师考核合格即可获得 1 学分。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72"/>
            </w:pPr>
            <w:r>
              <w:rPr>
                <w:rFonts w:ascii="微软雅黑" w:hAnsi="微软雅黑" w:eastAsia="微软雅黑" w:cs="微软雅黑"/>
                <w:sz w:val="21"/>
              </w:rPr>
              <w:t>2-5</w:t>
            </w:r>
          </w:p>
        </w:tc>
      </w:tr>
      <w:tr>
        <w:tblPrEx>
          <w:tblCellMar>
            <w:top w:w="58" w:type="dxa"/>
            <w:left w:w="106" w:type="dxa"/>
            <w:bottom w:w="0" w:type="dxa"/>
            <w:right w:w="0" w:type="dxa"/>
          </w:tblCellMar>
        </w:tblPrEx>
        <w:trPr>
          <w:trHeight w:val="2246" w:hRule="atLeast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96" w:right="202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创新创业</w:t>
            </w:r>
            <w:r>
              <w:rPr>
                <w:rFonts w:ascii="微软雅黑" w:hAnsi="微软雅黑" w:eastAsia="微软雅黑" w:cs="微软雅黑"/>
                <w:sz w:val="21"/>
              </w:rPr>
              <w:t>（2 学分）</w:t>
            </w:r>
          </w:p>
        </w:tc>
        <w:tc>
          <w:tcPr>
            <w:tcW w:w="6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after="20"/>
              <w:ind w:firstLine="422"/>
            </w:pPr>
            <w:r>
              <w:rPr>
                <w:rFonts w:ascii="微软雅黑" w:hAnsi="微软雅黑" w:eastAsia="微软雅黑" w:cs="微软雅黑"/>
                <w:sz w:val="21"/>
              </w:rPr>
              <w:t>进行 3 个月以上的出国访学研修或学术交流；</w:t>
            </w:r>
          </w:p>
          <w:p>
            <w:pPr>
              <w:numPr>
                <w:ilvl w:val="0"/>
                <w:numId w:val="1"/>
              </w:numPr>
              <w:spacing w:after="0" w:line="284" w:lineRule="auto"/>
              <w:ind w:firstLine="422"/>
            </w:pPr>
            <w:r>
              <w:rPr>
                <w:rFonts w:ascii="微软雅黑" w:hAnsi="微软雅黑" w:eastAsia="微软雅黑" w:cs="微软雅黑"/>
                <w:sz w:val="21"/>
              </w:rPr>
              <w:t>参加与管理科学与工程专业相关的学术会议，做公开学术报告 2 次；</w:t>
            </w:r>
          </w:p>
          <w:p>
            <w:pPr>
              <w:numPr>
                <w:ilvl w:val="0"/>
                <w:numId w:val="1"/>
              </w:numPr>
              <w:spacing w:after="5" w:line="279" w:lineRule="auto"/>
              <w:ind w:firstLine="422"/>
            </w:pPr>
            <w:r>
              <w:rPr>
                <w:rFonts w:ascii="微软雅黑" w:hAnsi="微软雅黑" w:eastAsia="微软雅黑" w:cs="微软雅黑"/>
                <w:sz w:val="21"/>
              </w:rPr>
              <w:t>参加与管理科学与工程专业相关的省级以上科技竞赛、创意设计、创新创业竞赛等，并获三等奖以上 1 次；</w:t>
            </w:r>
          </w:p>
          <w:p>
            <w:pPr>
              <w:numPr>
                <w:ilvl w:val="0"/>
                <w:numId w:val="1"/>
              </w:numPr>
              <w:spacing w:after="0"/>
              <w:ind w:firstLine="422"/>
            </w:pPr>
            <w:r>
              <w:rPr>
                <w:rFonts w:ascii="微软雅黑" w:hAnsi="微软雅黑" w:eastAsia="微软雅黑" w:cs="微软雅黑"/>
                <w:sz w:val="21"/>
              </w:rPr>
              <w:t>参加 6 次以上与本学科相关的学术报告，并提交总结；每项记 1 学分，需完成 2 学分。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72"/>
            </w:pPr>
            <w:r>
              <w:rPr>
                <w:rFonts w:ascii="微软雅黑" w:hAnsi="微软雅黑" w:eastAsia="微软雅黑" w:cs="微软雅黑"/>
                <w:sz w:val="21"/>
              </w:rPr>
              <w:t>1-5</w:t>
            </w:r>
          </w:p>
        </w:tc>
      </w:tr>
      <w:tr>
        <w:tblPrEx>
          <w:tblCellMar>
            <w:top w:w="58" w:type="dxa"/>
            <w:left w:w="106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培养单位教授委员会主任</w:t>
            </w:r>
          </w:p>
        </w:tc>
        <w:tc>
          <w:tcPr>
            <w:tcW w:w="2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523"/>
            </w:pPr>
            <w:r>
              <w:drawing>
                <wp:inline distT="0" distB="0" distL="0" distR="0">
                  <wp:extent cx="1023620" cy="542290"/>
                  <wp:effectExtent l="0" t="0" r="0" b="0"/>
                  <wp:docPr id="3273" name="Picture 3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3" name="Picture 32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8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9" w:right="125"/>
              <w:jc w:val="center"/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培养单位负责人</w:t>
            </w:r>
          </w:p>
        </w:tc>
        <w:tc>
          <w:tcPr>
            <w:tcW w:w="2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62"/>
            </w:pPr>
            <w:r>
              <w:drawing>
                <wp:inline distT="0" distB="0" distL="0" distR="0">
                  <wp:extent cx="1130300" cy="429260"/>
                  <wp:effectExtent l="0" t="0" r="12700" b="12700"/>
                  <wp:docPr id="3275" name="Picture 3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5" name="Picture 327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808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-1944" w:right="8549"/>
    </w:pPr>
    <w: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6266180</wp:posOffset>
          </wp:positionH>
          <wp:positionV relativeFrom="page">
            <wp:posOffset>563880</wp:posOffset>
          </wp:positionV>
          <wp:extent cx="490855" cy="457200"/>
          <wp:effectExtent l="0" t="0" r="12065" b="0"/>
          <wp:wrapSquare wrapText="bothSides"/>
          <wp:docPr id="1676" name="Picture 16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" name="Picture 16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728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-1944" w:right="6168"/>
    </w:pPr>
    <w: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1021080</wp:posOffset>
          </wp:positionH>
          <wp:positionV relativeFrom="page">
            <wp:posOffset>558165</wp:posOffset>
          </wp:positionV>
          <wp:extent cx="490855" cy="457200"/>
          <wp:effectExtent l="0" t="0" r="12065" b="0"/>
          <wp:wrapSquare wrapText="bothSides"/>
          <wp:docPr id="2151" name="Picture 21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1" name="Picture 21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728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-1944" w:right="8549"/>
    </w:pPr>
    <w: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6266180</wp:posOffset>
          </wp:positionH>
          <wp:positionV relativeFrom="page">
            <wp:posOffset>563880</wp:posOffset>
          </wp:positionV>
          <wp:extent cx="490855" cy="457200"/>
          <wp:effectExtent l="0" t="0" r="12065" b="0"/>
          <wp:wrapSquare wrapText="bothSides"/>
          <wp:docPr id="998481660" name="Picture 16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481660" name="Picture 16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728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11C66"/>
    <w:multiLevelType w:val="multilevel"/>
    <w:tmpl w:val="61A11C66"/>
    <w:lvl w:ilvl="0" w:tentative="0">
      <w:start w:val="1"/>
      <w:numFmt w:val="decimal"/>
      <w:lvlText w:val="%1."/>
      <w:lvlJc w:val="left"/>
      <w:pPr>
        <w:ind w:left="211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0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2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4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76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48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0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2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4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MjMyN2QwMDE1NjlkNGExZGViNzE3ZDAxOTRkMGYifQ=="/>
  </w:docVars>
  <w:rsids>
    <w:rsidRoot w:val="00000000"/>
    <w:rsid w:val="4936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spacing w:after="211" w:line="259" w:lineRule="auto"/>
      <w:ind w:left="509" w:hanging="10"/>
      <w:outlineLvl w:val="1"/>
    </w:pPr>
    <w:rPr>
      <w:rFonts w:ascii="黑体" w:hAnsi="黑体" w:eastAsia="黑体" w:cs="黑体"/>
      <w:color w:val="000000"/>
      <w:kern w:val="2"/>
      <w:sz w:val="25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jpe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2023-04-24T08:21:20Z</dcterms:created>
  <dc:creator>Lenovo</dc:creator>
  <cp:lastModifiedBy>tp14369</cp:lastModifiedBy>
  <dcterms:modified xsi:type="dcterms:W3CDTF">2023-04-24T08:22:05Z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78AAB572C49E4B26B6FE44F7DF4AE521_12</vt:lpwstr>
  </property>
</Properties>
</file>