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7" w:line="225" w:lineRule="auto"/>
        <w:ind w:left="385"/>
        <w:rPr>
          <w:rFonts w:ascii="黑体" w:hAnsi="黑体" w:eastAsia="黑体" w:cs="黑体"/>
          <w:sz w:val="27"/>
          <w:szCs w:val="27"/>
        </w:rPr>
      </w:pPr>
      <w:bookmarkStart w:id="0" w:name="_GoBack"/>
      <w:r>
        <w:rPr>
          <w:rFonts w:ascii="黑体" w:hAnsi="黑体" w:eastAsia="黑体" w:cs="黑体"/>
          <w:spacing w:val="-1"/>
          <w:sz w:val="27"/>
          <w:szCs w:val="27"/>
        </w:rPr>
        <w:t xml:space="preserve">附表 </w:t>
      </w:r>
      <w:r>
        <w:rPr>
          <w:rFonts w:ascii="Times New Roman" w:hAnsi="Times New Roman" w:eastAsia="Times New Roman" w:cs="Times New Roman"/>
          <w:spacing w:val="-1"/>
          <w:sz w:val="27"/>
          <w:szCs w:val="27"/>
        </w:rPr>
        <w:t>1</w:t>
      </w:r>
      <w:r>
        <w:rPr>
          <w:rFonts w:ascii="黑体" w:hAnsi="黑体" w:eastAsia="黑体" w:cs="黑体"/>
          <w:sz w:val="27"/>
          <w:szCs w:val="27"/>
        </w:rPr>
        <w:t>：研究方向简介</w:t>
      </w:r>
    </w:p>
    <w:p>
      <w:pPr>
        <w:spacing w:line="143" w:lineRule="exact"/>
      </w:pPr>
    </w:p>
    <w:tbl>
      <w:tblPr>
        <w:tblStyle w:val="4"/>
        <w:tblW w:w="1359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272"/>
        <w:gridCol w:w="8037"/>
        <w:gridCol w:w="36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29" w:type="dxa"/>
            <w:gridSpan w:val="2"/>
            <w:vAlign w:val="top"/>
          </w:tcPr>
          <w:p>
            <w:pPr>
              <w:spacing w:before="122" w:line="210" w:lineRule="auto"/>
              <w:ind w:left="7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8037" w:type="dxa"/>
            <w:vAlign w:val="top"/>
          </w:tcPr>
          <w:p>
            <w:pPr>
              <w:spacing w:before="122" w:line="211" w:lineRule="auto"/>
              <w:ind w:left="36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目标</w:t>
            </w:r>
          </w:p>
        </w:tc>
        <w:tc>
          <w:tcPr>
            <w:tcW w:w="3627" w:type="dxa"/>
            <w:vAlign w:val="top"/>
          </w:tcPr>
          <w:p>
            <w:pPr>
              <w:spacing w:before="123" w:line="209" w:lineRule="auto"/>
              <w:ind w:left="1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撑课程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929" w:type="dxa"/>
            <w:gridSpan w:val="2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8" w:line="212" w:lineRule="auto"/>
              <w:ind w:left="5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综合素</w:t>
            </w:r>
            <w:r>
              <w:rPr>
                <w:rFonts w:ascii="宋体" w:hAnsi="宋体" w:eastAsia="宋体" w:cs="宋体"/>
                <w:sz w:val="21"/>
                <w:szCs w:val="21"/>
              </w:rPr>
              <w:t>质</w:t>
            </w:r>
          </w:p>
        </w:tc>
        <w:tc>
          <w:tcPr>
            <w:tcW w:w="8037" w:type="dxa"/>
            <w:vAlign w:val="top"/>
          </w:tcPr>
          <w:p>
            <w:pPr>
              <w:spacing w:before="43" w:line="237" w:lineRule="auto"/>
              <w:ind w:left="105" w:right="17" w:firstLine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具备良好的政治素质和职业道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德，具有严谨求实的工作作风和开放敏锐的创新思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维，有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持续求知欲，能够正确评价自己，人格健全。具有扎实的工程技术基础，具备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现代化管理素质与能力，能够有效推动工程领域技术创新和管理发展，能够有效计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划、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组织、指挥、协调和控制</w:t>
            </w:r>
            <w:r>
              <w:rPr>
                <w:rFonts w:ascii="宋体" w:hAnsi="宋体" w:eastAsia="宋体" w:cs="宋体"/>
                <w:sz w:val="21"/>
                <w:szCs w:val="21"/>
              </w:rPr>
              <w:t>工程实践及技术开发等活动。</w:t>
            </w:r>
          </w:p>
        </w:tc>
        <w:tc>
          <w:tcPr>
            <w:tcW w:w="3627" w:type="dxa"/>
            <w:vAlign w:val="top"/>
          </w:tcPr>
          <w:p>
            <w:pPr>
              <w:spacing w:before="183" w:line="257" w:lineRule="auto"/>
              <w:ind w:left="109" w:right="109" w:firstLine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自然辩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证法、新时代中国特色社会主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义理论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与实践、研究生英语、工程管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理导论、系统工程等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929" w:type="dxa"/>
            <w:gridSpan w:val="2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8" w:line="211" w:lineRule="auto"/>
              <w:ind w:left="5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综合能</w:t>
            </w:r>
            <w:r>
              <w:rPr>
                <w:rFonts w:ascii="宋体" w:hAnsi="宋体" w:eastAsia="宋体" w:cs="宋体"/>
                <w:sz w:val="21"/>
                <w:szCs w:val="21"/>
              </w:rPr>
              <w:t>力</w:t>
            </w:r>
          </w:p>
        </w:tc>
        <w:tc>
          <w:tcPr>
            <w:tcW w:w="8037" w:type="dxa"/>
            <w:vAlign w:val="top"/>
          </w:tcPr>
          <w:p>
            <w:pPr>
              <w:spacing w:before="84" w:line="246" w:lineRule="auto"/>
              <w:ind w:left="103" w:right="111" w:firstLine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了解国内外工程管理理论和实践的发展动态和前沿，具有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扎实的基本理论知识和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系统的专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业知识，掌握解决工程问题的先进技术方法和现代技术手段，具有运用管理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科学、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系统科学、 计算科学和现代数学解决工程管理问题的能力，掌握文献检索、资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料查询的方法，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具有从事应用研究和实际工程的综合能力。</w:t>
            </w:r>
          </w:p>
        </w:tc>
        <w:tc>
          <w:tcPr>
            <w:tcW w:w="3627" w:type="dxa"/>
            <w:vAlign w:val="top"/>
          </w:tcPr>
          <w:p>
            <w:pPr>
              <w:spacing w:before="225" w:line="255" w:lineRule="auto"/>
              <w:ind w:left="109" w:right="114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系统工程、工程管理导论、工程经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济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程系统决策及优化、大数据分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析等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60" w:lineRule="auto"/>
              <w:ind w:left="113" w:right="119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研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方向</w:t>
            </w:r>
          </w:p>
        </w:tc>
        <w:tc>
          <w:tcPr>
            <w:tcW w:w="127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424" w:right="114" w:hanging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制造工程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与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8037" w:type="dxa"/>
            <w:vAlign w:val="top"/>
          </w:tcPr>
          <w:p>
            <w:pPr>
              <w:spacing w:before="41" w:line="215" w:lineRule="auto"/>
              <w:ind w:left="5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具有自然科学、工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程技术、社会科学基础，掌握经济管理理论和计算机与信息技</w:t>
            </w:r>
          </w:p>
          <w:p>
            <w:pPr>
              <w:spacing w:before="33" w:line="235" w:lineRule="auto"/>
              <w:ind w:left="106" w:right="34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术，能够熟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练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开展生产系统、服务系统和管理信息系统规划、设计、评价和创新工作，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深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入研究生产与服务战略、生产系统再造、物流与供应链优化、服务模式设计等重大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问题，并取得一系列的实践</w:t>
            </w:r>
            <w:r>
              <w:rPr>
                <w:rFonts w:ascii="宋体" w:hAnsi="宋体" w:eastAsia="宋体" w:cs="宋体"/>
                <w:sz w:val="21"/>
                <w:szCs w:val="21"/>
              </w:rPr>
              <w:t>或理论创新成果。</w:t>
            </w:r>
          </w:p>
        </w:tc>
        <w:tc>
          <w:tcPr>
            <w:tcW w:w="3627" w:type="dxa"/>
            <w:vAlign w:val="top"/>
          </w:tcPr>
          <w:p>
            <w:pPr>
              <w:spacing w:before="39" w:line="238" w:lineRule="auto"/>
              <w:ind w:left="106" w:righ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定量分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析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：模型与方法、高级运筹学、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工业工程、 运营管理、人因与设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计、服务管理、项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目计划和控制、绿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色制造、智能制造</w:t>
            </w:r>
            <w:r>
              <w:rPr>
                <w:rFonts w:ascii="宋体" w:hAnsi="宋体" w:eastAsia="宋体" w:cs="宋体"/>
                <w:sz w:val="21"/>
                <w:szCs w:val="21"/>
              </w:rPr>
              <w:t>工程、企业诊断等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262" w:lineRule="auto"/>
              <w:ind w:left="423" w:right="220" w:hanging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8037" w:type="dxa"/>
            <w:vAlign w:val="top"/>
          </w:tcPr>
          <w:p>
            <w:pPr>
              <w:spacing w:before="64" w:line="239" w:lineRule="auto"/>
              <w:ind w:left="103" w:right="111" w:firstLine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掌握现代项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管理基础理论与方法，熟练应用运筹学、系统工程、 决策学， 对工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程投资建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设及运营中涉及的项目论证、决策、计划、实施、控制、评价等项目全生命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周期及全要素的管理问题进行研究， 为政府部门和企事业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单位的工程项目管理提供理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论</w:t>
            </w:r>
            <w:r>
              <w:rPr>
                <w:rFonts w:ascii="宋体" w:hAnsi="宋体" w:eastAsia="宋体" w:cs="宋体"/>
                <w:sz w:val="21"/>
                <w:szCs w:val="21"/>
              </w:rPr>
              <w:t>技术支持和政策建议。</w:t>
            </w:r>
          </w:p>
        </w:tc>
        <w:tc>
          <w:tcPr>
            <w:tcW w:w="3627" w:type="dxa"/>
            <w:vAlign w:val="top"/>
          </w:tcPr>
          <w:p>
            <w:pPr>
              <w:spacing w:before="207" w:line="256" w:lineRule="auto"/>
              <w:ind w:left="109" w:right="11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项目计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划与控制、项目组织与人力资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源、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程系统决策及优化、工程经济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学、高级运筹学、 知识管理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8" w:line="259" w:lineRule="auto"/>
              <w:ind w:left="211" w:right="114" w:hanging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能源与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环境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工程管理</w:t>
            </w:r>
          </w:p>
        </w:tc>
        <w:tc>
          <w:tcPr>
            <w:tcW w:w="8037" w:type="dxa"/>
            <w:vAlign w:val="top"/>
          </w:tcPr>
          <w:p>
            <w:pPr>
              <w:spacing w:before="45" w:line="239" w:lineRule="auto"/>
              <w:ind w:left="104" w:right="111" w:firstLine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具备能源与环境系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统工程的基础理论和基本技能，掌握能源利用和环境规划相关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领域理论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、知识和技能，能够在能源环境规划利用领域从事设计、生产、管理和新技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术研究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新产品开发等工程工作，可为环境、资源、生态等相关企事业单位、 政府能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源环境部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门、科研机构、高等院校等单位提供理论支持和政策建议，取得符合培养要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求的管理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研究成果。</w:t>
            </w:r>
          </w:p>
        </w:tc>
        <w:tc>
          <w:tcPr>
            <w:tcW w:w="36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52" w:lineRule="auto"/>
              <w:ind w:left="113" w:righ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源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经济学、 绿色制造、系统工程、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源与环境系统工程、定量分析：模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型与方法、高</w:t>
            </w:r>
            <w:r>
              <w:rPr>
                <w:rFonts w:ascii="宋体" w:hAnsi="宋体" w:eastAsia="宋体" w:cs="宋体"/>
                <w:sz w:val="21"/>
                <w:szCs w:val="21"/>
              </w:rPr>
              <w:t>级运筹学等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spacing w:before="267" w:line="21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数字经济</w:t>
            </w:r>
            <w:r>
              <w:rPr>
                <w:rFonts w:ascii="宋体" w:hAnsi="宋体" w:eastAsia="宋体" w:cs="宋体"/>
                <w:sz w:val="21"/>
                <w:szCs w:val="21"/>
              </w:rPr>
              <w:t>与</w:t>
            </w:r>
          </w:p>
          <w:p>
            <w:pPr>
              <w:spacing w:before="39" w:line="209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新兴</w:t>
            </w:r>
            <w:r>
              <w:rPr>
                <w:rFonts w:ascii="宋体" w:hAnsi="宋体" w:eastAsia="宋体" w:cs="宋体"/>
                <w:sz w:val="21"/>
                <w:szCs w:val="21"/>
              </w:rPr>
              <w:t>产业管</w:t>
            </w:r>
          </w:p>
          <w:p>
            <w:pPr>
              <w:spacing w:before="51" w:line="200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</w:tc>
        <w:tc>
          <w:tcPr>
            <w:tcW w:w="8037" w:type="dxa"/>
            <w:vAlign w:val="top"/>
          </w:tcPr>
          <w:p>
            <w:pPr>
              <w:spacing w:before="118" w:line="251" w:lineRule="auto"/>
              <w:ind w:left="103" w:right="87" w:firstLine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通过计算机科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学技术与管理学知识的结合，掌握面向大数据环境的数据处理和分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析方法、面向电子商务数据管理方向的管理科学专业知识，具有较强的大数据管理能力和信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息技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术应用能力，熟悉现代管理决策、电子商务领域的各项大数据应用，能够承担各级各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类组织机构特别是政府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管理部门和电子商务环境下企业的大数据管理应用工作。</w:t>
            </w:r>
          </w:p>
        </w:tc>
        <w:tc>
          <w:tcPr>
            <w:tcW w:w="3627" w:type="dxa"/>
            <w:vAlign w:val="top"/>
          </w:tcPr>
          <w:p>
            <w:pPr>
              <w:spacing w:before="267" w:line="253" w:lineRule="auto"/>
              <w:ind w:left="105" w:right="162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工程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济学、 数据科学理论与方法、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大数据与商务智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能、供应链金融、知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识管理、 物联网工程等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6840" w:h="11900"/>
          <w:pgMar w:top="400" w:right="1643" w:bottom="889" w:left="1588" w:header="0" w:footer="681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88" w:line="225" w:lineRule="auto"/>
        <w:ind w:left="2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3"/>
          <w:sz w:val="27"/>
          <w:szCs w:val="27"/>
        </w:rPr>
        <w:t>附表 2：培养计</w:t>
      </w:r>
      <w:r>
        <w:rPr>
          <w:rFonts w:ascii="黑体" w:hAnsi="黑体" w:eastAsia="黑体" w:cs="黑体"/>
          <w:spacing w:val="-2"/>
          <w:sz w:val="27"/>
          <w:szCs w:val="27"/>
        </w:rPr>
        <w:t>划</w:t>
      </w:r>
    </w:p>
    <w:p>
      <w:pPr>
        <w:spacing w:line="148" w:lineRule="exact"/>
      </w:pPr>
    </w:p>
    <w:tbl>
      <w:tblPr>
        <w:tblStyle w:val="4"/>
        <w:tblW w:w="9033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017"/>
        <w:gridCol w:w="2015"/>
        <w:gridCol w:w="1357"/>
        <w:gridCol w:w="1118"/>
        <w:gridCol w:w="480"/>
        <w:gridCol w:w="494"/>
        <w:gridCol w:w="9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07" w:type="dxa"/>
            <w:vAlign w:val="top"/>
          </w:tcPr>
          <w:p>
            <w:pPr>
              <w:spacing w:before="139" w:line="209" w:lineRule="auto"/>
              <w:ind w:left="3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域名称</w:t>
            </w:r>
          </w:p>
        </w:tc>
        <w:tc>
          <w:tcPr>
            <w:tcW w:w="3032" w:type="dxa"/>
            <w:gridSpan w:val="2"/>
            <w:vAlign w:val="top"/>
          </w:tcPr>
          <w:p>
            <w:pPr>
              <w:spacing w:before="138" w:line="209" w:lineRule="auto"/>
              <w:ind w:left="10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工程管理</w:t>
            </w:r>
          </w:p>
        </w:tc>
        <w:tc>
          <w:tcPr>
            <w:tcW w:w="1357" w:type="dxa"/>
            <w:vAlign w:val="top"/>
          </w:tcPr>
          <w:p>
            <w:pPr>
              <w:spacing w:before="135" w:line="211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域代码</w:t>
            </w:r>
          </w:p>
        </w:tc>
        <w:tc>
          <w:tcPr>
            <w:tcW w:w="3037" w:type="dxa"/>
            <w:gridSpan w:val="4"/>
            <w:vAlign w:val="top"/>
          </w:tcPr>
          <w:p>
            <w:pPr>
              <w:spacing w:before="166" w:line="183" w:lineRule="auto"/>
              <w:ind w:left="1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125601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07" w:type="dxa"/>
            <w:vAlign w:val="top"/>
          </w:tcPr>
          <w:p>
            <w:pPr>
              <w:spacing w:before="132" w:line="212" w:lineRule="auto"/>
              <w:ind w:left="3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位名称</w:t>
            </w:r>
          </w:p>
        </w:tc>
        <w:tc>
          <w:tcPr>
            <w:tcW w:w="3032" w:type="dxa"/>
            <w:gridSpan w:val="2"/>
            <w:vAlign w:val="top"/>
          </w:tcPr>
          <w:p>
            <w:pPr>
              <w:spacing w:before="133" w:line="209" w:lineRule="auto"/>
              <w:ind w:left="10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管理学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院</w:t>
            </w:r>
          </w:p>
        </w:tc>
        <w:tc>
          <w:tcPr>
            <w:tcW w:w="1357" w:type="dxa"/>
            <w:vAlign w:val="top"/>
          </w:tcPr>
          <w:p>
            <w:pPr>
              <w:spacing w:before="132" w:line="21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类型</w:t>
            </w:r>
          </w:p>
        </w:tc>
        <w:tc>
          <w:tcPr>
            <w:tcW w:w="3037" w:type="dxa"/>
            <w:gridSpan w:val="4"/>
            <w:vAlign w:val="top"/>
          </w:tcPr>
          <w:p>
            <w:pPr>
              <w:spacing w:before="132" w:line="212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非全日制专业学位</w:t>
            </w:r>
            <w:r>
              <w:rPr>
                <w:rFonts w:ascii="宋体" w:hAnsi="宋体" w:eastAsia="宋体" w:cs="宋体"/>
                <w:sz w:val="21"/>
                <w:szCs w:val="21"/>
              </w:rPr>
              <w:t>硕士研究生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07" w:type="dxa"/>
            <w:vAlign w:val="top"/>
          </w:tcPr>
          <w:p>
            <w:pPr>
              <w:spacing w:before="131" w:line="213" w:lineRule="auto"/>
              <w:ind w:left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分要求</w:t>
            </w:r>
          </w:p>
        </w:tc>
        <w:tc>
          <w:tcPr>
            <w:tcW w:w="7426" w:type="dxa"/>
            <w:gridSpan w:val="7"/>
            <w:vAlign w:val="top"/>
          </w:tcPr>
          <w:p>
            <w:pPr>
              <w:spacing w:before="124" w:line="283" w:lineRule="exact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1"/>
                <w:szCs w:val="21"/>
              </w:rPr>
              <w:t>总学分≥33 学分，必修课程学分≥25 学分，选修课程学分≥8 学</w:t>
            </w: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033" w:type="dxa"/>
            <w:gridSpan w:val="8"/>
            <w:vAlign w:val="top"/>
          </w:tcPr>
          <w:p>
            <w:pPr>
              <w:spacing w:before="154" w:line="208" w:lineRule="auto"/>
              <w:ind w:left="40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07" w:type="dxa"/>
            <w:vAlign w:val="top"/>
          </w:tcPr>
          <w:p>
            <w:pPr>
              <w:spacing w:before="191" w:line="209" w:lineRule="auto"/>
              <w:ind w:left="3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型</w:t>
            </w:r>
          </w:p>
        </w:tc>
        <w:tc>
          <w:tcPr>
            <w:tcW w:w="1017" w:type="dxa"/>
            <w:vAlign w:val="top"/>
          </w:tcPr>
          <w:p>
            <w:pPr>
              <w:spacing w:before="49" w:line="282" w:lineRule="exact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</w:t>
            </w:r>
          </w:p>
          <w:p>
            <w:pPr>
              <w:spacing w:line="206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编码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193" w:line="208" w:lineRule="auto"/>
              <w:ind w:left="18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480" w:type="dxa"/>
            <w:textDirection w:val="tbRlV"/>
            <w:vAlign w:val="top"/>
          </w:tcPr>
          <w:p>
            <w:pPr>
              <w:spacing w:before="135" w:line="212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494" w:type="dxa"/>
            <w:textDirection w:val="tbRlV"/>
            <w:vAlign w:val="top"/>
          </w:tcPr>
          <w:p>
            <w:pPr>
              <w:spacing w:before="139" w:line="214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  <w:tc>
          <w:tcPr>
            <w:tcW w:w="945" w:type="dxa"/>
            <w:vAlign w:val="top"/>
          </w:tcPr>
          <w:p>
            <w:pPr>
              <w:spacing w:before="190" w:line="213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11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公共必修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</w:t>
            </w:r>
          </w:p>
          <w:p>
            <w:pPr>
              <w:spacing w:before="46" w:line="209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9 学分</w:t>
            </w:r>
          </w:p>
        </w:tc>
        <w:tc>
          <w:tcPr>
            <w:tcW w:w="10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6007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45" w:line="234" w:lineRule="auto"/>
              <w:ind w:left="104" w:right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新时代中国特色社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会主义理论与实践      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Theory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Practice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Socialism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with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Chinese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Characteristics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for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New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Era</w:t>
            </w:r>
          </w:p>
        </w:tc>
        <w:tc>
          <w:tcPr>
            <w:tcW w:w="48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8" w:line="204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必选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6" w:line="183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6003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67" w:line="238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然辩证法</w:t>
            </w:r>
          </w:p>
          <w:p>
            <w:pPr>
              <w:spacing w:line="23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89"/>
                <w:sz w:val="21"/>
                <w:szCs w:val="21"/>
              </w:rPr>
              <w:t>Dialectics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89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89"/>
                <w:sz w:val="21"/>
                <w:szCs w:val="21"/>
              </w:rPr>
              <w:t>Nature</w:t>
            </w:r>
          </w:p>
        </w:tc>
        <w:tc>
          <w:tcPr>
            <w:tcW w:w="480" w:type="dxa"/>
            <w:vAlign w:val="top"/>
          </w:tcPr>
          <w:p>
            <w:pPr>
              <w:spacing w:before="238" w:line="182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spacing w:before="238" w:line="182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6" w:line="183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4001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68" w:line="208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</w:t>
            </w:r>
            <w:r>
              <w:rPr>
                <w:rFonts w:ascii="宋体" w:hAnsi="宋体" w:eastAsia="宋体" w:cs="宋体"/>
                <w:sz w:val="21"/>
                <w:szCs w:val="21"/>
              </w:rPr>
              <w:t>生英语</w:t>
            </w:r>
          </w:p>
          <w:p>
            <w:pPr>
              <w:spacing w:before="32" w:line="23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English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for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Graduate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Students</w:t>
            </w:r>
          </w:p>
        </w:tc>
        <w:tc>
          <w:tcPr>
            <w:tcW w:w="480" w:type="dxa"/>
            <w:vAlign w:val="top"/>
          </w:tcPr>
          <w:p>
            <w:pPr>
              <w:spacing w:before="238" w:line="181" w:lineRule="auto"/>
              <w:ind w:left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94" w:type="dxa"/>
            <w:vAlign w:val="top"/>
          </w:tcPr>
          <w:p>
            <w:pPr>
              <w:spacing w:before="237" w:line="182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7" w:line="183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0031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68" w:line="20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知识产权与学</w:t>
            </w:r>
            <w:r>
              <w:rPr>
                <w:rFonts w:ascii="宋体" w:hAnsi="宋体" w:eastAsia="宋体" w:cs="宋体"/>
                <w:sz w:val="21"/>
                <w:szCs w:val="21"/>
              </w:rPr>
              <w:t>术规范</w:t>
            </w:r>
          </w:p>
          <w:p>
            <w:pPr>
              <w:spacing w:before="31" w:line="23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Intellectual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property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Academic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Norms</w:t>
            </w:r>
          </w:p>
        </w:tc>
        <w:tc>
          <w:tcPr>
            <w:tcW w:w="480" w:type="dxa"/>
            <w:vAlign w:val="top"/>
          </w:tcPr>
          <w:p>
            <w:pPr>
              <w:spacing w:before="238" w:line="182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spacing w:before="238" w:line="182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7" w:line="183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0032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65" w:line="215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信息检索</w:t>
            </w:r>
            <w:r>
              <w:rPr>
                <w:rFonts w:ascii="宋体" w:hAnsi="宋体" w:eastAsia="宋体" w:cs="宋体"/>
                <w:sz w:val="21"/>
                <w:szCs w:val="21"/>
              </w:rPr>
              <w:t>与论文写作</w:t>
            </w:r>
          </w:p>
          <w:p>
            <w:pPr>
              <w:spacing w:before="28" w:line="22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Information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Retrieval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Thesis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Writing</w:t>
            </w:r>
          </w:p>
        </w:tc>
        <w:tc>
          <w:tcPr>
            <w:tcW w:w="480" w:type="dxa"/>
            <w:vAlign w:val="top"/>
          </w:tcPr>
          <w:p>
            <w:pPr>
              <w:spacing w:before="238" w:line="182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spacing w:before="238" w:line="182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6" w:line="184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5004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69" w:line="237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程伦理</w:t>
            </w:r>
          </w:p>
          <w:p>
            <w:pPr>
              <w:spacing w:line="22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Engineering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Ethics</w:t>
            </w:r>
          </w:p>
        </w:tc>
        <w:tc>
          <w:tcPr>
            <w:tcW w:w="480" w:type="dxa"/>
            <w:vAlign w:val="top"/>
          </w:tcPr>
          <w:p>
            <w:pPr>
              <w:spacing w:before="239" w:line="182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spacing w:before="239" w:line="182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210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类别核心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</w:t>
            </w:r>
          </w:p>
          <w:p>
            <w:pPr>
              <w:spacing w:before="42" w:line="209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学分</w:t>
            </w:r>
          </w:p>
        </w:tc>
        <w:tc>
          <w:tcPr>
            <w:tcW w:w="1017" w:type="dxa"/>
            <w:vAlign w:val="top"/>
          </w:tcPr>
          <w:p>
            <w:pPr>
              <w:spacing w:before="239" w:line="18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180084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69" w:line="20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理导论</w:t>
            </w:r>
          </w:p>
          <w:p>
            <w:pPr>
              <w:spacing w:before="32" w:line="233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Engineering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Management Introduction</w:t>
            </w:r>
          </w:p>
        </w:tc>
        <w:tc>
          <w:tcPr>
            <w:tcW w:w="480" w:type="dxa"/>
            <w:vAlign w:val="top"/>
          </w:tcPr>
          <w:p>
            <w:pPr>
              <w:spacing w:before="239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9" w:line="182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04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必选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2" w:line="183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180026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63" w:line="238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工程经济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  <w:p>
            <w:pPr>
              <w:spacing w:line="232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Engineering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Economics</w:t>
            </w:r>
          </w:p>
        </w:tc>
        <w:tc>
          <w:tcPr>
            <w:tcW w:w="480" w:type="dxa"/>
            <w:vAlign w:val="top"/>
          </w:tcPr>
          <w:p>
            <w:pPr>
              <w:spacing w:before="234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4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3" w:line="183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180085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66" w:line="208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系统工程</w:t>
            </w:r>
          </w:p>
          <w:p>
            <w:pPr>
              <w:spacing w:before="31" w:line="233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System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Engineering</w:t>
            </w:r>
          </w:p>
        </w:tc>
        <w:tc>
          <w:tcPr>
            <w:tcW w:w="480" w:type="dxa"/>
            <w:vAlign w:val="top"/>
          </w:tcPr>
          <w:p>
            <w:pPr>
              <w:spacing w:before="235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5" w:line="182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核心课程</w:t>
            </w:r>
          </w:p>
          <w:p>
            <w:pPr>
              <w:spacing w:before="46" w:line="209" w:lineRule="auto"/>
              <w:ind w:left="4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0 学分</w:t>
            </w:r>
          </w:p>
        </w:tc>
        <w:tc>
          <w:tcPr>
            <w:tcW w:w="1017" w:type="dxa"/>
            <w:vAlign w:val="top"/>
          </w:tcPr>
          <w:p>
            <w:pPr>
              <w:spacing w:before="216" w:line="18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180102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65" w:line="20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运营管理</w:t>
            </w:r>
          </w:p>
          <w:p>
            <w:pPr>
              <w:spacing w:before="36" w:line="228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Operation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and Management</w:t>
            </w:r>
          </w:p>
        </w:tc>
        <w:tc>
          <w:tcPr>
            <w:tcW w:w="480" w:type="dxa"/>
            <w:vAlign w:val="top"/>
          </w:tcPr>
          <w:p>
            <w:pPr>
              <w:spacing w:before="235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5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04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必选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17" w:line="18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180012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64" w:line="211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物流与供应链管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  <w:p>
            <w:pPr>
              <w:spacing w:before="36" w:line="227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Logistics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Supply Chain Management</w:t>
            </w:r>
          </w:p>
        </w:tc>
        <w:tc>
          <w:tcPr>
            <w:tcW w:w="480" w:type="dxa"/>
            <w:vAlign w:val="top"/>
          </w:tcPr>
          <w:p>
            <w:pPr>
              <w:spacing w:before="236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6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18" w:line="18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180104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66" w:line="242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人因与</w:t>
            </w:r>
            <w:r>
              <w:rPr>
                <w:rFonts w:ascii="宋体" w:hAnsi="宋体" w:eastAsia="宋体" w:cs="宋体"/>
                <w:sz w:val="21"/>
                <w:szCs w:val="21"/>
              </w:rPr>
              <w:t>设计</w:t>
            </w:r>
          </w:p>
          <w:p>
            <w:pPr>
              <w:spacing w:line="227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Ergonomics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and Design</w:t>
            </w:r>
          </w:p>
        </w:tc>
        <w:tc>
          <w:tcPr>
            <w:tcW w:w="480" w:type="dxa"/>
            <w:vAlign w:val="top"/>
          </w:tcPr>
          <w:p>
            <w:pPr>
              <w:spacing w:before="237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7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15" w:line="183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180105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66" w:line="24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大数据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分析</w:t>
            </w:r>
          </w:p>
          <w:p>
            <w:pPr>
              <w:spacing w:line="22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Big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Data Analysis</w:t>
            </w:r>
          </w:p>
        </w:tc>
        <w:tc>
          <w:tcPr>
            <w:tcW w:w="480" w:type="dxa"/>
            <w:vAlign w:val="top"/>
          </w:tcPr>
          <w:p>
            <w:pPr>
              <w:spacing w:before="236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6" w:line="182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17" w:line="18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180107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66" w:line="20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工程系统</w:t>
            </w:r>
            <w:r>
              <w:rPr>
                <w:rFonts w:ascii="宋体" w:hAnsi="宋体" w:eastAsia="宋体" w:cs="宋体"/>
                <w:sz w:val="21"/>
                <w:szCs w:val="21"/>
              </w:rPr>
              <w:t>决策及优化</w:t>
            </w:r>
          </w:p>
          <w:p>
            <w:pPr>
              <w:spacing w:before="36" w:line="228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Engineering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System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Decision and Optimization</w:t>
            </w:r>
          </w:p>
        </w:tc>
        <w:tc>
          <w:tcPr>
            <w:tcW w:w="480" w:type="dxa"/>
            <w:vAlign w:val="top"/>
          </w:tcPr>
          <w:p>
            <w:pPr>
              <w:spacing w:before="241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41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9" w:line="21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方向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选修课程</w:t>
            </w:r>
          </w:p>
          <w:p>
            <w:pPr>
              <w:spacing w:before="31" w:line="283" w:lineRule="exact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position w:val="1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-17"/>
                <w:position w:val="1"/>
                <w:sz w:val="21"/>
                <w:szCs w:val="21"/>
              </w:rPr>
              <w:t>8 学分</w:t>
            </w:r>
          </w:p>
        </w:tc>
        <w:tc>
          <w:tcPr>
            <w:tcW w:w="1017" w:type="dxa"/>
            <w:vAlign w:val="top"/>
          </w:tcPr>
          <w:p>
            <w:pPr>
              <w:spacing w:before="239" w:line="183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180086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57" w:line="283" w:lineRule="exact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定量分析：模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型与方法</w:t>
            </w:r>
          </w:p>
          <w:p>
            <w:pPr>
              <w:spacing w:before="1" w:line="227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Quantitative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Analysis: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Model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Method</w:t>
            </w:r>
          </w:p>
        </w:tc>
        <w:tc>
          <w:tcPr>
            <w:tcW w:w="480" w:type="dxa"/>
            <w:vAlign w:val="top"/>
          </w:tcPr>
          <w:p>
            <w:pPr>
              <w:spacing w:before="241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41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89" w:line="18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180088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spacing w:before="115" w:line="215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工程信</w:t>
            </w:r>
            <w:r>
              <w:rPr>
                <w:rFonts w:ascii="宋体" w:hAnsi="宋体" w:eastAsia="宋体" w:cs="宋体"/>
                <w:sz w:val="21"/>
                <w:szCs w:val="21"/>
              </w:rPr>
              <w:t>息管理</w:t>
            </w:r>
          </w:p>
          <w:p>
            <w:pPr>
              <w:spacing w:before="33" w:line="242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Engineering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Information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Management</w:t>
            </w:r>
          </w:p>
        </w:tc>
        <w:tc>
          <w:tcPr>
            <w:tcW w:w="480" w:type="dxa"/>
            <w:vAlign w:val="top"/>
          </w:tcPr>
          <w:p>
            <w:pPr>
              <w:spacing w:before="289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89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footerReference r:id="rId8" w:type="default"/>
          <w:pgSz w:w="11900" w:h="16840"/>
          <w:pgMar w:top="1638" w:right="1412" w:bottom="1288" w:left="1420" w:header="884" w:footer="1079" w:gutter="0"/>
          <w:cols w:space="720" w:num="1"/>
        </w:sectPr>
      </w:pPr>
    </w:p>
    <w:p>
      <w:pPr>
        <w:spacing w:line="172" w:lineRule="exact"/>
      </w:pPr>
    </w:p>
    <w:tbl>
      <w:tblPr>
        <w:tblStyle w:val="4"/>
        <w:tblW w:w="9033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017"/>
        <w:gridCol w:w="4490"/>
        <w:gridCol w:w="480"/>
        <w:gridCol w:w="494"/>
        <w:gridCol w:w="9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6" w:line="18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180087</w:t>
            </w:r>
          </w:p>
        </w:tc>
        <w:tc>
          <w:tcPr>
            <w:tcW w:w="4490" w:type="dxa"/>
            <w:vAlign w:val="top"/>
          </w:tcPr>
          <w:p>
            <w:pPr>
              <w:spacing w:before="63" w:line="212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质量与可靠</w:t>
            </w:r>
            <w:r>
              <w:rPr>
                <w:rFonts w:ascii="宋体" w:hAnsi="宋体" w:eastAsia="宋体" w:cs="宋体"/>
                <w:sz w:val="21"/>
                <w:szCs w:val="21"/>
              </w:rPr>
              <w:t>性管理</w:t>
            </w:r>
          </w:p>
          <w:p>
            <w:pPr>
              <w:spacing w:before="30" w:line="236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89"/>
                <w:sz w:val="21"/>
                <w:szCs w:val="21"/>
              </w:rPr>
              <w:t>Quality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89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89"/>
                <w:sz w:val="21"/>
                <w:szCs w:val="21"/>
              </w:rPr>
              <w:t>Reliability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89"/>
                <w:sz w:val="21"/>
                <w:szCs w:val="21"/>
              </w:rPr>
              <w:t>Analysis</w:t>
            </w:r>
          </w:p>
        </w:tc>
        <w:tc>
          <w:tcPr>
            <w:tcW w:w="480" w:type="dxa"/>
            <w:vAlign w:val="top"/>
          </w:tcPr>
          <w:p>
            <w:pPr>
              <w:spacing w:before="236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6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2" w:line="18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180110</w:t>
            </w:r>
          </w:p>
        </w:tc>
        <w:tc>
          <w:tcPr>
            <w:tcW w:w="4490" w:type="dxa"/>
            <w:vAlign w:val="top"/>
          </w:tcPr>
          <w:p>
            <w:pPr>
              <w:spacing w:before="61" w:line="20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数据科学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理论与方法</w:t>
            </w:r>
          </w:p>
          <w:p>
            <w:pPr>
              <w:spacing w:before="32" w:line="23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Data Science Theory and Method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s</w:t>
            </w:r>
          </w:p>
        </w:tc>
        <w:tc>
          <w:tcPr>
            <w:tcW w:w="480" w:type="dxa"/>
            <w:vAlign w:val="top"/>
          </w:tcPr>
          <w:p>
            <w:pPr>
              <w:spacing w:before="232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2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3" w:line="18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180001</w:t>
            </w:r>
          </w:p>
        </w:tc>
        <w:tc>
          <w:tcPr>
            <w:tcW w:w="4490" w:type="dxa"/>
            <w:vAlign w:val="top"/>
          </w:tcPr>
          <w:p>
            <w:pPr>
              <w:spacing w:before="61" w:line="21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高级运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筹学</w:t>
            </w:r>
          </w:p>
          <w:p>
            <w:pPr>
              <w:spacing w:before="36" w:line="231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Advanced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Operational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Research</w:t>
            </w:r>
          </w:p>
        </w:tc>
        <w:tc>
          <w:tcPr>
            <w:tcW w:w="480" w:type="dxa"/>
            <w:vAlign w:val="top"/>
          </w:tcPr>
          <w:p>
            <w:pPr>
              <w:spacing w:before="232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2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2" w:line="18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180031</w:t>
            </w:r>
          </w:p>
        </w:tc>
        <w:tc>
          <w:tcPr>
            <w:tcW w:w="4490" w:type="dxa"/>
            <w:vAlign w:val="top"/>
          </w:tcPr>
          <w:p>
            <w:pPr>
              <w:spacing w:before="61" w:line="242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企业诊断</w:t>
            </w:r>
          </w:p>
          <w:p>
            <w:pPr>
              <w:spacing w:line="231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0"/>
                <w:sz w:val="21"/>
                <w:szCs w:val="21"/>
              </w:rPr>
              <w:t>Enterprise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0"/>
                <w:sz w:val="21"/>
                <w:szCs w:val="21"/>
              </w:rPr>
              <w:t>diagnosis</w:t>
            </w:r>
          </w:p>
        </w:tc>
        <w:tc>
          <w:tcPr>
            <w:tcW w:w="480" w:type="dxa"/>
            <w:vAlign w:val="top"/>
          </w:tcPr>
          <w:p>
            <w:pPr>
              <w:spacing w:before="232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2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2" w:line="18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180010</w:t>
            </w:r>
          </w:p>
        </w:tc>
        <w:tc>
          <w:tcPr>
            <w:tcW w:w="4490" w:type="dxa"/>
            <w:vAlign w:val="top"/>
          </w:tcPr>
          <w:p>
            <w:pPr>
              <w:spacing w:before="60" w:line="211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现代工业工</w:t>
            </w:r>
            <w:r>
              <w:rPr>
                <w:rFonts w:ascii="宋体" w:hAnsi="宋体" w:eastAsia="宋体" w:cs="宋体"/>
                <w:sz w:val="21"/>
                <w:szCs w:val="21"/>
              </w:rPr>
              <w:t>程</w:t>
            </w:r>
          </w:p>
          <w:p>
            <w:pPr>
              <w:spacing w:before="37" w:line="23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Modern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Industrial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Engineering</w:t>
            </w:r>
          </w:p>
        </w:tc>
        <w:tc>
          <w:tcPr>
            <w:tcW w:w="480" w:type="dxa"/>
            <w:vAlign w:val="top"/>
          </w:tcPr>
          <w:p>
            <w:pPr>
              <w:spacing w:before="232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2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2" w:line="183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180089</w:t>
            </w:r>
          </w:p>
        </w:tc>
        <w:tc>
          <w:tcPr>
            <w:tcW w:w="4490" w:type="dxa"/>
            <w:vAlign w:val="top"/>
          </w:tcPr>
          <w:p>
            <w:pPr>
              <w:spacing w:before="63" w:line="20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  <w:p>
            <w:pPr>
              <w:spacing w:before="36" w:line="23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Service Managemen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t</w:t>
            </w:r>
          </w:p>
        </w:tc>
        <w:tc>
          <w:tcPr>
            <w:tcW w:w="480" w:type="dxa"/>
            <w:vAlign w:val="top"/>
          </w:tcPr>
          <w:p>
            <w:pPr>
              <w:spacing w:before="233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3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8" w:line="183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180091</w:t>
            </w:r>
          </w:p>
        </w:tc>
        <w:tc>
          <w:tcPr>
            <w:tcW w:w="4490" w:type="dxa"/>
            <w:vAlign w:val="top"/>
          </w:tcPr>
          <w:p>
            <w:pPr>
              <w:spacing w:before="63" w:line="21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智能</w:t>
            </w:r>
            <w:r>
              <w:rPr>
                <w:rFonts w:ascii="宋体" w:hAnsi="宋体" w:eastAsia="宋体" w:cs="宋体"/>
                <w:sz w:val="21"/>
                <w:szCs w:val="21"/>
              </w:rPr>
              <w:t>制造工程</w:t>
            </w:r>
          </w:p>
          <w:p>
            <w:pPr>
              <w:spacing w:before="35" w:line="22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0"/>
                <w:sz w:val="21"/>
                <w:szCs w:val="21"/>
              </w:rPr>
              <w:t>Intelligent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0"/>
                <w:sz w:val="21"/>
                <w:szCs w:val="21"/>
              </w:rPr>
              <w:t>Manufacturing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0"/>
                <w:sz w:val="21"/>
                <w:szCs w:val="21"/>
              </w:rPr>
              <w:t>Engineering</w:t>
            </w:r>
          </w:p>
        </w:tc>
        <w:tc>
          <w:tcPr>
            <w:tcW w:w="480" w:type="dxa"/>
            <w:vAlign w:val="top"/>
          </w:tcPr>
          <w:p>
            <w:pPr>
              <w:spacing w:before="238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8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9" w:line="183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180092</w:t>
            </w:r>
          </w:p>
        </w:tc>
        <w:tc>
          <w:tcPr>
            <w:tcW w:w="4490" w:type="dxa"/>
            <w:vAlign w:val="top"/>
          </w:tcPr>
          <w:p>
            <w:pPr>
              <w:spacing w:before="62" w:line="21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供应链</w:t>
            </w:r>
            <w:r>
              <w:rPr>
                <w:rFonts w:ascii="宋体" w:hAnsi="宋体" w:eastAsia="宋体" w:cs="宋体"/>
                <w:sz w:val="21"/>
                <w:szCs w:val="21"/>
              </w:rPr>
              <w:t>金融</w:t>
            </w:r>
          </w:p>
          <w:p>
            <w:pPr>
              <w:spacing w:before="36" w:line="22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Supply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Chain Finance</w:t>
            </w:r>
          </w:p>
        </w:tc>
        <w:tc>
          <w:tcPr>
            <w:tcW w:w="480" w:type="dxa"/>
            <w:vAlign w:val="top"/>
          </w:tcPr>
          <w:p>
            <w:pPr>
              <w:spacing w:before="239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9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9" w:line="18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180070</w:t>
            </w:r>
          </w:p>
        </w:tc>
        <w:tc>
          <w:tcPr>
            <w:tcW w:w="4490" w:type="dxa"/>
            <w:vAlign w:val="top"/>
          </w:tcPr>
          <w:p>
            <w:pPr>
              <w:spacing w:before="63" w:line="24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能源经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济学</w:t>
            </w:r>
          </w:p>
          <w:p>
            <w:pPr>
              <w:spacing w:line="228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Energy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Economics</w:t>
            </w:r>
          </w:p>
        </w:tc>
        <w:tc>
          <w:tcPr>
            <w:tcW w:w="480" w:type="dxa"/>
            <w:vAlign w:val="top"/>
          </w:tcPr>
          <w:p>
            <w:pPr>
              <w:spacing w:before="239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39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40" w:line="18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180078</w:t>
            </w:r>
          </w:p>
        </w:tc>
        <w:tc>
          <w:tcPr>
            <w:tcW w:w="4490" w:type="dxa"/>
            <w:vAlign w:val="top"/>
          </w:tcPr>
          <w:p>
            <w:pPr>
              <w:spacing w:before="63" w:line="21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资源与环境系统工</w:t>
            </w:r>
            <w:r>
              <w:rPr>
                <w:rFonts w:ascii="宋体" w:hAnsi="宋体" w:eastAsia="宋体" w:cs="宋体"/>
                <w:sz w:val="21"/>
                <w:szCs w:val="21"/>
              </w:rPr>
              <w:t>程</w:t>
            </w:r>
          </w:p>
          <w:p>
            <w:pPr>
              <w:spacing w:before="34" w:line="22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Resource and Environmental System Engineerin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g</w:t>
            </w:r>
          </w:p>
        </w:tc>
        <w:tc>
          <w:tcPr>
            <w:tcW w:w="480" w:type="dxa"/>
            <w:vAlign w:val="top"/>
          </w:tcPr>
          <w:p>
            <w:pPr>
              <w:spacing w:before="240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40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40" w:line="183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180093</w:t>
            </w:r>
          </w:p>
        </w:tc>
        <w:tc>
          <w:tcPr>
            <w:tcW w:w="4490" w:type="dxa"/>
            <w:vAlign w:val="top"/>
          </w:tcPr>
          <w:p>
            <w:pPr>
              <w:spacing w:before="69" w:line="21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色制造</w:t>
            </w:r>
          </w:p>
          <w:p>
            <w:pPr>
              <w:spacing w:before="31" w:line="228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Green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Manufacturing</w:t>
            </w:r>
          </w:p>
        </w:tc>
        <w:tc>
          <w:tcPr>
            <w:tcW w:w="480" w:type="dxa"/>
            <w:vAlign w:val="top"/>
          </w:tcPr>
          <w:p>
            <w:pPr>
              <w:spacing w:before="241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41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8" w:line="183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180075</w:t>
            </w:r>
          </w:p>
        </w:tc>
        <w:tc>
          <w:tcPr>
            <w:tcW w:w="4490" w:type="dxa"/>
            <w:vAlign w:val="top"/>
          </w:tcPr>
          <w:p>
            <w:pPr>
              <w:spacing w:before="69" w:line="21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大数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据与商务智能</w:t>
            </w:r>
          </w:p>
          <w:p>
            <w:pPr>
              <w:spacing w:before="31" w:line="22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Big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Data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Business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Intelligence</w:t>
            </w:r>
          </w:p>
        </w:tc>
        <w:tc>
          <w:tcPr>
            <w:tcW w:w="480" w:type="dxa"/>
            <w:vAlign w:val="top"/>
          </w:tcPr>
          <w:p>
            <w:pPr>
              <w:spacing w:before="240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40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8" w:line="183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180015</w:t>
            </w:r>
          </w:p>
        </w:tc>
        <w:tc>
          <w:tcPr>
            <w:tcW w:w="4490" w:type="dxa"/>
            <w:vAlign w:val="top"/>
          </w:tcPr>
          <w:p>
            <w:pPr>
              <w:spacing w:before="70" w:line="20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知识管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  <w:p>
            <w:pPr>
              <w:spacing w:before="32" w:line="22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K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nowledge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Management</w:t>
            </w:r>
          </w:p>
        </w:tc>
        <w:tc>
          <w:tcPr>
            <w:tcW w:w="480" w:type="dxa"/>
            <w:vAlign w:val="top"/>
          </w:tcPr>
          <w:p>
            <w:pPr>
              <w:spacing w:before="240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40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8" w:line="184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180096</w:t>
            </w:r>
          </w:p>
        </w:tc>
        <w:tc>
          <w:tcPr>
            <w:tcW w:w="4490" w:type="dxa"/>
            <w:vAlign w:val="top"/>
          </w:tcPr>
          <w:p>
            <w:pPr>
              <w:spacing w:before="71" w:line="208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物联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网工程</w:t>
            </w:r>
          </w:p>
          <w:p>
            <w:pPr>
              <w:spacing w:before="32" w:line="228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Internet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Things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Engineering</w:t>
            </w:r>
          </w:p>
        </w:tc>
        <w:tc>
          <w:tcPr>
            <w:tcW w:w="480" w:type="dxa"/>
            <w:vAlign w:val="top"/>
          </w:tcPr>
          <w:p>
            <w:pPr>
              <w:spacing w:before="240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40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38" w:line="183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180025</w:t>
            </w:r>
          </w:p>
        </w:tc>
        <w:tc>
          <w:tcPr>
            <w:tcW w:w="4490" w:type="dxa"/>
            <w:vAlign w:val="top"/>
          </w:tcPr>
          <w:p>
            <w:pPr>
              <w:spacing w:before="69" w:line="21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t>计划与控制</w:t>
            </w:r>
          </w:p>
          <w:p>
            <w:pPr>
              <w:spacing w:before="30" w:line="228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Project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Planning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Control</w:t>
            </w:r>
          </w:p>
        </w:tc>
        <w:tc>
          <w:tcPr>
            <w:tcW w:w="480" w:type="dxa"/>
            <w:vAlign w:val="top"/>
          </w:tcPr>
          <w:p>
            <w:pPr>
              <w:spacing w:before="240" w:line="182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spacing w:before="240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12" w:lineRule="auto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素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养选修课程</w:t>
            </w:r>
          </w:p>
          <w:p>
            <w:pPr>
              <w:spacing w:before="41" w:line="209" w:lineRule="auto"/>
              <w:ind w:left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学分</w:t>
            </w:r>
          </w:p>
        </w:tc>
        <w:tc>
          <w:tcPr>
            <w:tcW w:w="101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5024</w:t>
            </w:r>
          </w:p>
        </w:tc>
        <w:tc>
          <w:tcPr>
            <w:tcW w:w="4490" w:type="dxa"/>
            <w:vAlign w:val="top"/>
          </w:tcPr>
          <w:p>
            <w:pPr>
              <w:spacing w:before="48" w:line="233" w:lineRule="auto"/>
              <w:ind w:left="104" w:right="7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计算机科学前沿技术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应用系列讲座    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Lectures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on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Frontier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Technology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Application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Computer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Science</w:t>
            </w:r>
          </w:p>
        </w:tc>
        <w:tc>
          <w:tcPr>
            <w:tcW w:w="48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9" w:line="182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9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40" w:line="184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9002</w:t>
            </w:r>
          </w:p>
        </w:tc>
        <w:tc>
          <w:tcPr>
            <w:tcW w:w="4490" w:type="dxa"/>
            <w:vAlign w:val="top"/>
          </w:tcPr>
          <w:p>
            <w:pPr>
              <w:spacing w:before="71" w:line="237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美术</w:t>
            </w:r>
            <w:r>
              <w:rPr>
                <w:rFonts w:ascii="宋体" w:hAnsi="宋体" w:eastAsia="宋体" w:cs="宋体"/>
                <w:sz w:val="21"/>
                <w:szCs w:val="21"/>
              </w:rPr>
              <w:t>鉴赏</w:t>
            </w:r>
          </w:p>
          <w:p>
            <w:pPr>
              <w:spacing w:line="227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Art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Appreciation</w:t>
            </w:r>
          </w:p>
        </w:tc>
        <w:tc>
          <w:tcPr>
            <w:tcW w:w="480" w:type="dxa"/>
            <w:vAlign w:val="top"/>
          </w:tcPr>
          <w:p>
            <w:pPr>
              <w:spacing w:before="241" w:line="182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spacing w:before="241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40" w:line="183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1001</w:t>
            </w:r>
          </w:p>
        </w:tc>
        <w:tc>
          <w:tcPr>
            <w:tcW w:w="4490" w:type="dxa"/>
            <w:vAlign w:val="top"/>
          </w:tcPr>
          <w:p>
            <w:pPr>
              <w:spacing w:before="68" w:line="212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中国传统文化</w:t>
            </w:r>
          </w:p>
          <w:p>
            <w:pPr>
              <w:spacing w:before="30" w:line="22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Chinese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Traditional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Culture</w:t>
            </w:r>
          </w:p>
        </w:tc>
        <w:tc>
          <w:tcPr>
            <w:tcW w:w="480" w:type="dxa"/>
            <w:vAlign w:val="top"/>
          </w:tcPr>
          <w:p>
            <w:pPr>
              <w:spacing w:before="241" w:line="182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spacing w:before="241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3043</w:t>
            </w:r>
          </w:p>
        </w:tc>
        <w:tc>
          <w:tcPr>
            <w:tcW w:w="4490" w:type="dxa"/>
            <w:vAlign w:val="top"/>
          </w:tcPr>
          <w:p>
            <w:pPr>
              <w:spacing w:before="49" w:line="21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中国古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代韵文阅读与欣赏</w:t>
            </w:r>
          </w:p>
          <w:p>
            <w:pPr>
              <w:spacing w:before="36" w:line="239" w:lineRule="auto"/>
              <w:ind w:left="110" w:righ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Reading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and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Appreciation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of Ancient Chinese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Rhymes</w:t>
            </w:r>
          </w:p>
        </w:tc>
        <w:tc>
          <w:tcPr>
            <w:tcW w:w="48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40" w:line="183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3042</w:t>
            </w:r>
          </w:p>
        </w:tc>
        <w:tc>
          <w:tcPr>
            <w:tcW w:w="4490" w:type="dxa"/>
            <w:vAlign w:val="top"/>
          </w:tcPr>
          <w:p>
            <w:pPr>
              <w:spacing w:before="70" w:line="238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诗</w:t>
            </w:r>
            <w:r>
              <w:rPr>
                <w:rFonts w:ascii="宋体" w:hAnsi="宋体" w:eastAsia="宋体" w:cs="宋体"/>
                <w:sz w:val="21"/>
                <w:szCs w:val="21"/>
              </w:rPr>
              <w:t>歌与审美艺术</w:t>
            </w:r>
          </w:p>
          <w:p>
            <w:pPr>
              <w:spacing w:line="227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Poetry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Aesthetic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Art</w:t>
            </w:r>
          </w:p>
        </w:tc>
        <w:tc>
          <w:tcPr>
            <w:tcW w:w="480" w:type="dxa"/>
            <w:vAlign w:val="top"/>
          </w:tcPr>
          <w:p>
            <w:pPr>
              <w:spacing w:before="241" w:line="182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spacing w:before="241" w:line="182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7" w:type="dxa"/>
            <w:vAlign w:val="top"/>
          </w:tcPr>
          <w:p>
            <w:pPr>
              <w:spacing w:before="118" w:line="211" w:lineRule="auto"/>
              <w:ind w:left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修课程</w:t>
            </w:r>
          </w:p>
          <w:p>
            <w:pPr>
              <w:spacing w:before="44" w:line="211" w:lineRule="auto"/>
              <w:ind w:left="3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计学分</w:t>
            </w:r>
          </w:p>
        </w:tc>
        <w:tc>
          <w:tcPr>
            <w:tcW w:w="5507" w:type="dxa"/>
            <w:gridSpan w:val="2"/>
            <w:vAlign w:val="top"/>
          </w:tcPr>
          <w:p>
            <w:pPr>
              <w:spacing w:before="257" w:line="21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级管理学、 统计学原理、 财务管理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9" w:type="default"/>
          <w:footerReference r:id="rId10" w:type="default"/>
          <w:pgSz w:w="11900" w:h="16840"/>
          <w:pgMar w:top="1638" w:right="1412" w:bottom="1288" w:left="1420" w:header="894" w:footer="1079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901700</wp:posOffset>
            </wp:positionH>
            <wp:positionV relativeFrom="page">
              <wp:posOffset>1033780</wp:posOffset>
            </wp:positionV>
            <wp:extent cx="5757545" cy="635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767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911225</wp:posOffset>
            </wp:positionH>
            <wp:positionV relativeFrom="page">
              <wp:posOffset>561340</wp:posOffset>
            </wp:positionV>
            <wp:extent cx="490855" cy="457200"/>
            <wp:effectExtent l="0" t="0" r="12065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072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69" w:line="212" w:lineRule="auto"/>
        <w:ind w:left="8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专业学位硕士研</w:t>
      </w:r>
      <w:r>
        <w:rPr>
          <w:rFonts w:ascii="宋体" w:hAnsi="宋体" w:eastAsia="宋体" w:cs="宋体"/>
          <w:sz w:val="21"/>
          <w:szCs w:val="21"/>
        </w:rPr>
        <w:t>究生培养方案</w:t>
      </w:r>
    </w:p>
    <w:p>
      <w:pPr>
        <w:spacing w:line="212" w:lineRule="exact"/>
      </w:pPr>
    </w:p>
    <w:tbl>
      <w:tblPr>
        <w:tblStyle w:val="4"/>
        <w:tblW w:w="9033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230"/>
        <w:gridCol w:w="2634"/>
        <w:gridCol w:w="1602"/>
        <w:gridCol w:w="2015"/>
        <w:gridCol w:w="9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33" w:type="dxa"/>
            <w:gridSpan w:val="6"/>
            <w:vAlign w:val="top"/>
          </w:tcPr>
          <w:p>
            <w:pPr>
              <w:spacing w:before="193" w:line="212" w:lineRule="auto"/>
              <w:ind w:left="33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其他培养环节(6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07" w:type="dxa"/>
            <w:vAlign w:val="top"/>
          </w:tcPr>
          <w:p>
            <w:pPr>
              <w:spacing w:before="175" w:line="211" w:lineRule="auto"/>
              <w:ind w:left="3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环节</w:t>
            </w:r>
          </w:p>
        </w:tc>
        <w:tc>
          <w:tcPr>
            <w:tcW w:w="6481" w:type="dxa"/>
            <w:gridSpan w:val="4"/>
            <w:vAlign w:val="top"/>
          </w:tcPr>
          <w:p>
            <w:pPr>
              <w:spacing w:before="175" w:line="212" w:lineRule="auto"/>
              <w:ind w:left="2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相关内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容及要求</w:t>
            </w:r>
          </w:p>
        </w:tc>
        <w:tc>
          <w:tcPr>
            <w:tcW w:w="945" w:type="dxa"/>
            <w:vAlign w:val="top"/>
          </w:tcPr>
          <w:p>
            <w:pPr>
              <w:spacing w:before="177" w:line="209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607" w:type="dxa"/>
            <w:vAlign w:val="top"/>
          </w:tcPr>
          <w:p>
            <w:pPr>
              <w:spacing w:before="240" w:line="207" w:lineRule="auto"/>
              <w:ind w:left="3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开题报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告</w:t>
            </w:r>
          </w:p>
          <w:p>
            <w:pPr>
              <w:spacing w:before="38" w:line="283" w:lineRule="exact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</w:rPr>
              <w:t xml:space="preserve"> 1 学分)</w:t>
            </w:r>
          </w:p>
        </w:tc>
        <w:tc>
          <w:tcPr>
            <w:tcW w:w="6481" w:type="dxa"/>
            <w:gridSpan w:val="4"/>
            <w:vAlign w:val="top"/>
          </w:tcPr>
          <w:p>
            <w:pPr>
              <w:spacing w:before="98" w:line="247" w:lineRule="auto"/>
              <w:ind w:left="110" w:right="105" w:firstLine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第三学期末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交开题报告，并由本学科专业 5 人以上专家组成评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审小组对学生所做开题报告进行</w:t>
            </w:r>
            <w:r>
              <w:rPr>
                <w:rFonts w:ascii="宋体" w:hAnsi="宋体" w:eastAsia="宋体" w:cs="宋体"/>
                <w:sz w:val="21"/>
                <w:szCs w:val="21"/>
              </w:rPr>
              <w:t>评审。</w:t>
            </w:r>
          </w:p>
          <w:p>
            <w:pPr>
              <w:spacing w:before="1" w:line="210" w:lineRule="auto"/>
              <w:ind w:left="5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审合格记 1 学分。</w:t>
            </w:r>
          </w:p>
        </w:tc>
        <w:tc>
          <w:tcPr>
            <w:tcW w:w="94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181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60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9" w:line="211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筛选考核</w:t>
            </w:r>
          </w:p>
          <w:p>
            <w:pPr>
              <w:spacing w:before="31" w:line="283" w:lineRule="exact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</w:rPr>
              <w:t xml:space="preserve"> 1 学分)</w:t>
            </w:r>
          </w:p>
        </w:tc>
        <w:tc>
          <w:tcPr>
            <w:tcW w:w="6481" w:type="dxa"/>
            <w:gridSpan w:val="4"/>
            <w:vAlign w:val="top"/>
          </w:tcPr>
          <w:p>
            <w:pPr>
              <w:spacing w:before="85" w:line="246" w:lineRule="auto"/>
              <w:ind w:left="105" w:right="105" w:firstLine="4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以研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究生培养方案为依据，在第四学期对研究生的政治思想和道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德品质、基础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理论和专业知识、科研创新、实践能力及健康状况等方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面进行综合考</w:t>
            </w:r>
            <w:r>
              <w:rPr>
                <w:rFonts w:ascii="宋体" w:hAnsi="宋体" w:eastAsia="宋体" w:cs="宋体"/>
                <w:sz w:val="21"/>
                <w:szCs w:val="21"/>
              </w:rPr>
              <w:t>核。</w:t>
            </w:r>
          </w:p>
          <w:p>
            <w:pPr>
              <w:spacing w:before="1" w:line="210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考核合格记 1 学分。</w:t>
            </w:r>
          </w:p>
        </w:tc>
        <w:tc>
          <w:tcPr>
            <w:tcW w:w="945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0" w:hRule="atLeast"/>
        </w:trPr>
        <w:tc>
          <w:tcPr>
            <w:tcW w:w="160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14" w:lineRule="auto"/>
              <w:ind w:left="3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专业实践</w:t>
            </w:r>
          </w:p>
          <w:p>
            <w:pPr>
              <w:spacing w:before="28" w:line="283" w:lineRule="exact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</w:rPr>
              <w:t xml:space="preserve"> 2 学分)</w:t>
            </w:r>
          </w:p>
        </w:tc>
        <w:tc>
          <w:tcPr>
            <w:tcW w:w="6481" w:type="dxa"/>
            <w:gridSpan w:val="4"/>
            <w:vAlign w:val="top"/>
          </w:tcPr>
          <w:p>
            <w:pPr>
              <w:spacing w:before="132" w:line="246" w:lineRule="auto"/>
              <w:ind w:left="104" w:right="101" w:firstLine="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1. 工程管理实践(必选)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：在学期间应在学校设立的联合培养基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地、研究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生工作站或校内外有条件的实践单位(含自己工作单位) 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行累计不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于 6 个月的专业实践训练。结束后由有关管理人员对学生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践中的实际表现给予书面评价，并经评分考核合格后，可取得 1.5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spacing w:before="1" w:line="244" w:lineRule="auto"/>
              <w:ind w:left="118" w:right="35" w:firstLine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 工程实践论坛 (可选)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：听取工程管理实践专题讲座并完成学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告，做实践论坛演讲报告并提交报告讲稿，每次可取得 0.25 学分；</w:t>
            </w:r>
          </w:p>
          <w:p>
            <w:pPr>
              <w:spacing w:before="1" w:line="246" w:lineRule="auto"/>
              <w:ind w:left="106" w:right="35" w:firstLine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3. 工程参观体验(可选)：参加国际工程实践交流、企业工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实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践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参访、海外工程实践参访等，完成分析报告，每次可取得 0.25 学分；</w:t>
            </w:r>
          </w:p>
          <w:p>
            <w:pPr>
              <w:spacing w:before="1" w:line="246" w:lineRule="auto"/>
              <w:ind w:left="106" w:right="21" w:firstLine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. 仿真模拟实验(可选)：参与制造工程、 物流工程、项目管理、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决策等与培养方向一致的仿真模拟实验， 每门实验可取得 0.5 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分；</w:t>
            </w:r>
          </w:p>
          <w:p>
            <w:pPr>
              <w:spacing w:line="246" w:lineRule="auto"/>
              <w:ind w:left="106" w:right="21" w:firstLine="4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. 工程管理实训 (可选)：参与制造工程、 物流工程、项目管理、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决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策等与培养方向一致的工程管理实训，每门实训可取得 0.5 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分；</w:t>
            </w:r>
          </w:p>
          <w:p>
            <w:pPr>
              <w:spacing w:before="2" w:line="249" w:lineRule="auto"/>
              <w:ind w:left="107" w:right="101" w:firstLine="4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6.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团队拓展训练 (可选 )：参加团队拓展训练 1 次， 可取得 0.5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分。</w:t>
            </w:r>
          </w:p>
          <w:p>
            <w:pPr>
              <w:spacing w:before="2" w:line="210" w:lineRule="auto"/>
              <w:ind w:left="5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需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完成 2 学分。</w:t>
            </w:r>
          </w:p>
        </w:tc>
        <w:tc>
          <w:tcPr>
            <w:tcW w:w="9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2-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36" w:hRule="atLeast"/>
        </w:trPr>
        <w:tc>
          <w:tcPr>
            <w:tcW w:w="160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3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新创业</w:t>
            </w:r>
          </w:p>
          <w:p>
            <w:pPr>
              <w:spacing w:before="31" w:line="283" w:lineRule="exact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</w:rPr>
              <w:t xml:space="preserve"> 2 学分)</w:t>
            </w:r>
          </w:p>
        </w:tc>
        <w:tc>
          <w:tcPr>
            <w:tcW w:w="6481" w:type="dxa"/>
            <w:gridSpan w:val="4"/>
            <w:vAlign w:val="top"/>
          </w:tcPr>
          <w:p>
            <w:pPr>
              <w:spacing w:before="156" w:line="283" w:lineRule="exact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1"/>
                <w:szCs w:val="21"/>
              </w:rPr>
              <w:t>进行 3 个月以上的出国访学研修或学术交流；</w:t>
            </w:r>
          </w:p>
          <w:p>
            <w:pPr>
              <w:spacing w:before="1" w:line="278" w:lineRule="exact"/>
              <w:ind w:left="5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</w:rPr>
              <w:t>2. 参加学术会议并宣读论文，或做公开学术报告 2 次</w:t>
            </w: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；</w:t>
            </w:r>
          </w:p>
          <w:p>
            <w:pPr>
              <w:spacing w:line="278" w:lineRule="exact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</w:rPr>
              <w:t>3. 参加全</w:t>
            </w: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性的科技竞赛、创意设计、创新创业竞赛等并获奖；</w:t>
            </w:r>
          </w:p>
          <w:p>
            <w:pPr>
              <w:spacing w:before="2" w:line="233" w:lineRule="auto"/>
              <w:ind w:left="531" w:right="697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. 参加 6 次以上与本学科相关的学术报告，并提交总结；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项记 1 学分，需完成 2 学分。</w:t>
            </w:r>
          </w:p>
        </w:tc>
        <w:tc>
          <w:tcPr>
            <w:tcW w:w="94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22" w:hRule="atLeast"/>
        </w:trPr>
        <w:tc>
          <w:tcPr>
            <w:tcW w:w="1837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259" w:lineRule="auto"/>
              <w:ind w:left="182" w:right="176" w:firstLine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培养单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教授委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员会主任</w:t>
            </w:r>
          </w:p>
        </w:tc>
        <w:tc>
          <w:tcPr>
            <w:tcW w:w="2634" w:type="dxa"/>
            <w:vAlign w:val="top"/>
          </w:tcPr>
          <w:p>
            <w:pPr>
              <w:spacing w:before="147" w:line="768" w:lineRule="exact"/>
              <w:ind w:firstLine="562"/>
              <w:textAlignment w:val="center"/>
            </w:pPr>
            <w:r>
              <w:drawing>
                <wp:inline distT="0" distB="0" distL="0" distR="0">
                  <wp:extent cx="920115" cy="487680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96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78" w:lineRule="exact"/>
              <w:ind w:left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培养</w:t>
            </w:r>
            <w:r>
              <w:rPr>
                <w:rFonts w:ascii="宋体" w:hAnsi="宋体" w:eastAsia="宋体" w:cs="宋体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  <w:p>
            <w:pPr>
              <w:spacing w:line="210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责人</w:t>
            </w:r>
          </w:p>
        </w:tc>
        <w:tc>
          <w:tcPr>
            <w:tcW w:w="2960" w:type="dxa"/>
            <w:gridSpan w:val="2"/>
            <w:vAlign w:val="top"/>
          </w:tcPr>
          <w:p>
            <w:pPr>
              <w:spacing w:before="171" w:line="701" w:lineRule="exact"/>
              <w:ind w:firstLine="445"/>
              <w:textAlignment w:val="center"/>
            </w:pPr>
            <w:r>
              <w:drawing>
                <wp:inline distT="0" distB="0" distL="0" distR="0">
                  <wp:extent cx="1155065" cy="444500"/>
                  <wp:effectExtent l="0" t="0" r="3175" b="1270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191" cy="4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1" w:type="default"/>
          <w:footerReference r:id="rId12" w:type="default"/>
          <w:pgSz w:w="11900" w:h="16840"/>
          <w:pgMar w:top="400" w:right="1412" w:bottom="1288" w:left="1420" w:header="0" w:footer="1079" w:gutter="0"/>
          <w:cols w:space="720" w:num="1"/>
        </w:sect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65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4"/>
        <w:sz w:val="21"/>
        <w:szCs w:val="21"/>
      </w:rPr>
      <w:t>3</w:t>
    </w:r>
    <w:r>
      <w:rPr>
        <w:rFonts w:ascii="宋体" w:hAnsi="宋体" w:eastAsia="宋体" w:cs="宋体"/>
        <w:spacing w:val="-2"/>
        <w:sz w:val="21"/>
        <w:szCs w:val="21"/>
      </w:rPr>
      <w:t>85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8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4"/>
        <w:sz w:val="21"/>
        <w:szCs w:val="21"/>
      </w:rPr>
      <w:t>3</w:t>
    </w:r>
    <w:r>
      <w:rPr>
        <w:rFonts w:ascii="宋体" w:hAnsi="宋体" w:eastAsia="宋体" w:cs="宋体"/>
        <w:spacing w:val="-2"/>
        <w:sz w:val="21"/>
        <w:szCs w:val="21"/>
      </w:rPr>
      <w:t>86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8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4"/>
        <w:sz w:val="21"/>
        <w:szCs w:val="21"/>
      </w:rPr>
      <w:t>3</w:t>
    </w:r>
    <w:r>
      <w:rPr>
        <w:rFonts w:ascii="宋体" w:hAnsi="宋体" w:eastAsia="宋体" w:cs="宋体"/>
        <w:spacing w:val="-2"/>
        <w:sz w:val="21"/>
        <w:szCs w:val="21"/>
      </w:rPr>
      <w:t>87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8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4"/>
        <w:sz w:val="21"/>
        <w:szCs w:val="21"/>
      </w:rPr>
      <w:t>3</w:t>
    </w:r>
    <w:r>
      <w:rPr>
        <w:rFonts w:ascii="宋体" w:hAnsi="宋体" w:eastAsia="宋体" w:cs="宋体"/>
        <w:spacing w:val="-2"/>
        <w:sz w:val="21"/>
        <w:szCs w:val="21"/>
      </w:rPr>
      <w:t>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2" w:lineRule="auto"/>
      <w:rPr>
        <w:rFonts w:ascii="Arial"/>
        <w:sz w:val="21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901700</wp:posOffset>
          </wp:positionH>
          <wp:positionV relativeFrom="page">
            <wp:posOffset>1033780</wp:posOffset>
          </wp:positionV>
          <wp:extent cx="5757545" cy="6350"/>
          <wp:effectExtent l="0" t="0" r="0" b="0"/>
          <wp:wrapNone/>
          <wp:docPr id="13" name="I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911225</wp:posOffset>
          </wp:positionH>
          <wp:positionV relativeFrom="page">
            <wp:posOffset>561340</wp:posOffset>
          </wp:positionV>
          <wp:extent cx="490855" cy="457200"/>
          <wp:effectExtent l="0" t="0" r="12065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0727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68" w:line="212" w:lineRule="auto"/>
      <w:ind w:left="83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"/>
        <w:sz w:val="21"/>
        <w:szCs w:val="21"/>
      </w:rPr>
      <w:t>专业学位硕士研</w:t>
    </w:r>
    <w:r>
      <w:rPr>
        <w:rFonts w:ascii="宋体" w:hAnsi="宋体" w:eastAsia="宋体" w:cs="宋体"/>
        <w:sz w:val="21"/>
        <w:szCs w:val="21"/>
      </w:rPr>
      <w:t>究生培养方案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5" w:lineRule="auto"/>
      <w:rPr>
        <w:rFonts w:ascii="Arial"/>
        <w:sz w:val="21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901700</wp:posOffset>
          </wp:positionH>
          <wp:positionV relativeFrom="page">
            <wp:posOffset>1033780</wp:posOffset>
          </wp:positionV>
          <wp:extent cx="5757545" cy="6350"/>
          <wp:effectExtent l="0" t="0" r="0" b="0"/>
          <wp:wrapNone/>
          <wp:docPr id="15" name="I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6159500</wp:posOffset>
          </wp:positionH>
          <wp:positionV relativeFrom="page">
            <wp:posOffset>567690</wp:posOffset>
          </wp:positionV>
          <wp:extent cx="490855" cy="457200"/>
          <wp:effectExtent l="0" t="0" r="12065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0727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68" w:line="282" w:lineRule="exact"/>
      <w:ind w:left="526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20"/>
        <w:position w:val="1"/>
        <w:sz w:val="21"/>
        <w:szCs w:val="21"/>
      </w:rPr>
      <w:t>工</w:t>
    </w:r>
    <w:r>
      <w:rPr>
        <w:rFonts w:ascii="宋体" w:hAnsi="宋体" w:eastAsia="宋体" w:cs="宋体"/>
        <w:spacing w:val="18"/>
        <w:position w:val="1"/>
        <w:sz w:val="21"/>
        <w:szCs w:val="21"/>
      </w:rPr>
      <w:t>程管理(</w:t>
    </w:r>
    <w:r>
      <w:rPr>
        <w:rFonts w:ascii="宋体" w:hAnsi="宋体" w:eastAsia="宋体" w:cs="宋体"/>
        <w:position w:val="1"/>
        <w:sz w:val="21"/>
        <w:szCs w:val="21"/>
      </w:rPr>
      <w:t>MEM</w:t>
    </w:r>
    <w:r>
      <w:rPr>
        <w:rFonts w:ascii="宋体" w:hAnsi="宋体" w:eastAsia="宋体" w:cs="宋体"/>
        <w:spacing w:val="18"/>
        <w:position w:val="1"/>
        <w:sz w:val="21"/>
        <w:szCs w:val="21"/>
      </w:rPr>
      <w:t>) 非全日制领域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jMyN2QwMDE1NjlkNGExZGViNzE3ZDAxOTRkMGYifQ=="/>
  </w:docVars>
  <w:rsids>
    <w:rsidRoot w:val="1ED438FE"/>
    <w:rsid w:val="1ED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4.jpe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2023-04-24T11:41:00Z</dcterms:created>
  <dc:creator>tp14369</dc:creator>
  <cp:lastModifiedBy>tp14369</cp:lastModifiedBy>
  <dcterms:modified xsi:type="dcterms:W3CDTF">2023-04-24T12:05:03Z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3B7E4A9A2AF14849BB224E5C12032C79_11</vt:lpwstr>
  </property>
</Properties>
</file>